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70A" w:rsidRDefault="0051370A" w:rsidP="0051370A">
      <w:pPr>
        <w:pStyle w:val="Heading1"/>
        <w:spacing w:before="0" w:line="240" w:lineRule="auto"/>
        <w:ind w:firstLine="0"/>
        <w:jc w:val="center"/>
        <w:rPr>
          <w:rFonts w:asciiTheme="minorHAnsi" w:hAnsiTheme="minorHAnsi"/>
          <w:color w:val="auto"/>
          <w:sz w:val="32"/>
          <w:szCs w:val="32"/>
        </w:rPr>
      </w:pPr>
      <w:bookmarkStart w:id="0" w:name="_Toc251598770"/>
      <w:r w:rsidRPr="0051370A">
        <w:rPr>
          <w:rFonts w:asciiTheme="minorHAnsi" w:hAnsiTheme="minorHAnsi"/>
          <w:color w:val="auto"/>
          <w:sz w:val="32"/>
          <w:szCs w:val="32"/>
        </w:rPr>
        <w:t>Emerging Evidence on Improving Student Achievement and Graduation Rates</w:t>
      </w:r>
      <w:bookmarkEnd w:id="0"/>
    </w:p>
    <w:p w:rsidR="0051370A" w:rsidRPr="0051370A" w:rsidRDefault="0051370A" w:rsidP="0051370A">
      <w:pPr>
        <w:rPr>
          <w:sz w:val="10"/>
        </w:rPr>
      </w:pPr>
    </w:p>
    <w:p w:rsidR="0051370A" w:rsidRPr="0051370A" w:rsidRDefault="0051370A" w:rsidP="0051370A">
      <w:pPr>
        <w:spacing w:line="240" w:lineRule="auto"/>
        <w:ind w:firstLine="0"/>
        <w:jc w:val="center"/>
        <w:rPr>
          <w:b/>
          <w:i/>
        </w:rPr>
      </w:pPr>
      <w:proofErr w:type="gramStart"/>
      <w:r w:rsidRPr="0051370A">
        <w:rPr>
          <w:b/>
          <w:i/>
        </w:rPr>
        <w:t>Heather Davis Schmidt, Ed.D.</w:t>
      </w:r>
      <w:proofErr w:type="gramEnd"/>
    </w:p>
    <w:p w:rsidR="0051370A" w:rsidRPr="0051370A" w:rsidRDefault="0051370A" w:rsidP="0051370A">
      <w:pPr>
        <w:spacing w:line="240" w:lineRule="auto"/>
        <w:ind w:firstLine="0"/>
        <w:jc w:val="center"/>
        <w:rPr>
          <w:b/>
          <w:i/>
        </w:rPr>
      </w:pPr>
      <w:r w:rsidRPr="0051370A">
        <w:rPr>
          <w:b/>
          <w:i/>
        </w:rPr>
        <w:t>Executive Regional Director, Missoula County Public Schools</w:t>
      </w:r>
    </w:p>
    <w:p w:rsidR="0051370A" w:rsidRDefault="0051370A" w:rsidP="0051370A">
      <w:pPr>
        <w:spacing w:line="240" w:lineRule="auto"/>
        <w:ind w:firstLine="0"/>
        <w:jc w:val="center"/>
        <w:rPr>
          <w:b/>
          <w:i/>
        </w:rPr>
      </w:pPr>
      <w:r w:rsidRPr="0051370A">
        <w:rPr>
          <w:b/>
          <w:i/>
        </w:rPr>
        <w:t>In preparation for Graduation Matters Missoula Schools/Staff Subcommittee Meeting, November 30, 2011</w:t>
      </w:r>
    </w:p>
    <w:p w:rsidR="0051370A" w:rsidRPr="0051370A" w:rsidRDefault="0051370A" w:rsidP="0051370A">
      <w:pPr>
        <w:spacing w:line="240" w:lineRule="auto"/>
        <w:ind w:firstLine="0"/>
        <w:jc w:val="center"/>
        <w:rPr>
          <w:b/>
          <w:i/>
          <w:sz w:val="18"/>
        </w:rPr>
      </w:pPr>
    </w:p>
    <w:p w:rsidR="0051370A" w:rsidRPr="005D7D32" w:rsidRDefault="0051370A" w:rsidP="0051370A">
      <w:pPr>
        <w:spacing w:line="320" w:lineRule="exact"/>
        <w:ind w:firstLine="360"/>
      </w:pPr>
      <w:r>
        <w:t xml:space="preserve">Evidence in the literature clearly points to the ninth grade year as the key to dropout prevention. </w:t>
      </w:r>
      <w:r w:rsidRPr="00EC6BF5">
        <w:t xml:space="preserve"> </w:t>
      </w:r>
      <w:r>
        <w:t xml:space="preserve">The ninth </w:t>
      </w:r>
      <w:r w:rsidRPr="0046671B">
        <w:t>grade “transition” y</w:t>
      </w:r>
      <w:r>
        <w:t>ear is when students get “stuck</w:t>
      </w:r>
      <w:r w:rsidRPr="0046671B">
        <w:t xml:space="preserve">” </w:t>
      </w:r>
      <w:sdt>
        <w:sdtPr>
          <w:id w:val="182410949"/>
          <w:citation/>
        </w:sdtPr>
        <w:sdtContent>
          <w:fldSimple w:instr=" CITATION Nei09 \l 1033  ">
            <w:r w:rsidRPr="0046671B">
              <w:rPr>
                <w:noProof/>
              </w:rPr>
              <w:t>(Neild, 2009)</w:t>
            </w:r>
          </w:fldSimple>
        </w:sdtContent>
      </w:sdt>
      <w:r>
        <w:t xml:space="preserve">. According to </w:t>
      </w:r>
      <w:proofErr w:type="spellStart"/>
      <w:r>
        <w:t>Neild</w:t>
      </w:r>
      <w:proofErr w:type="spellEnd"/>
      <w:r>
        <w:t xml:space="preserve"> </w:t>
      </w:r>
      <w:sdt>
        <w:sdtPr>
          <w:id w:val="507293963"/>
          <w:citation/>
        </w:sdtPr>
        <w:sdtContent>
          <w:fldSimple w:instr=" CITATION Nei09 \n  \t  \l 1033  ">
            <w:r w:rsidRPr="005D7D32">
              <w:rPr>
                <w:noProof/>
              </w:rPr>
              <w:t>(2009)</w:t>
            </w:r>
          </w:fldSimple>
        </w:sdtContent>
      </w:sdt>
      <w:r>
        <w:t xml:space="preserve"> </w:t>
      </w:r>
      <w:r w:rsidRPr="005D7D32">
        <w:t xml:space="preserve">50% of dropouts never earn enough credits to move beyond </w:t>
      </w:r>
      <w:r>
        <w:t>the ninth</w:t>
      </w:r>
      <w:r w:rsidRPr="005D7D32">
        <w:t xml:space="preserve"> grade year, even after multiple years in high school.</w:t>
      </w:r>
      <w:r>
        <w:t xml:space="preserve"> </w:t>
      </w:r>
      <w:r w:rsidRPr="005D7D32">
        <w:t>“Overall, the studies indicate that instructional improvement and personalization are the twin pillars of high school reform</w:t>
      </w:r>
      <w:proofErr w:type="gramStart"/>
      <w:r w:rsidRPr="005D7D32">
        <w:t xml:space="preserve">” </w:t>
      </w:r>
      <w:proofErr w:type="gramEnd"/>
      <w:sdt>
        <w:sdtPr>
          <w:id w:val="438560573"/>
          <w:citation/>
        </w:sdtPr>
        <w:sdtContent>
          <w:fldSimple w:instr=" CITATION Her06 \p 1 \l 1033  ">
            <w:r w:rsidRPr="005D7D32">
              <w:rPr>
                <w:noProof/>
              </w:rPr>
              <w:t>(Herlihy &amp; Quint, 2006, p. 1)</w:t>
            </w:r>
          </w:fldSimple>
        </w:sdtContent>
      </w:sdt>
      <w:r w:rsidRPr="005D7D32">
        <w:t>.</w:t>
      </w:r>
      <w:r>
        <w:t xml:space="preserve"> Researchers have identified several key indicators to identify who is most likely to drop out, including: poor grades in core subjects </w:t>
      </w:r>
      <w:sdt>
        <w:sdtPr>
          <w:id w:val="483093468"/>
          <w:citation/>
        </w:sdtPr>
        <w:sdtContent>
          <w:fldSimple w:instr=" CITATION Ken07 \l 1033 ">
            <w:r w:rsidRPr="0099745B">
              <w:rPr>
                <w:noProof/>
              </w:rPr>
              <w:t>(Kennelly &amp; Monrad, 2007)</w:t>
            </w:r>
          </w:fldSimple>
        </w:sdtContent>
      </w:sdt>
      <w:r>
        <w:t>, s</w:t>
      </w:r>
      <w:r w:rsidRPr="00BB077F">
        <w:t>tudents</w:t>
      </w:r>
      <w:r>
        <w:t xml:space="preserve"> with low grade point averages</w:t>
      </w:r>
      <w:r w:rsidRPr="00BB077F">
        <w:t xml:space="preserve"> in the D+ or C- range, or just one failure in the first semester (two semester failures for the year)</w:t>
      </w:r>
      <w:r>
        <w:t xml:space="preserve"> </w:t>
      </w:r>
      <w:sdt>
        <w:sdtPr>
          <w:id w:val="483093467"/>
          <w:citation/>
        </w:sdtPr>
        <w:sdtContent>
          <w:fldSimple w:instr=" CITATION All07 \l 1033 ">
            <w:r w:rsidRPr="00BB077F">
              <w:rPr>
                <w:noProof/>
              </w:rPr>
              <w:t>(Allensworth &amp; Easton, 2007)</w:t>
            </w:r>
          </w:fldSimple>
        </w:sdtContent>
      </w:sdt>
      <w:r>
        <w:t xml:space="preserve">, low attendance </w:t>
      </w:r>
      <w:sdt>
        <w:sdtPr>
          <w:id w:val="483093464"/>
          <w:citation/>
        </w:sdtPr>
        <w:sdtContent>
          <w:fldSimple w:instr=" CITATION All07 \p 7 \l 1033  ">
            <w:r w:rsidRPr="002937B1">
              <w:rPr>
                <w:noProof/>
              </w:rPr>
              <w:t>(Allensworth &amp; Easton, 2007, p. 7)</w:t>
            </w:r>
          </w:fldSimple>
        </w:sdtContent>
      </w:sdt>
      <w:r>
        <w:t xml:space="preserve">, </w:t>
      </w:r>
      <w:r w:rsidRPr="0046671B">
        <w:t>failure to be promoted to the next grade, and</w:t>
      </w:r>
      <w:r>
        <w:t xml:space="preserve"> </w:t>
      </w:r>
      <w:r w:rsidRPr="005D7D32">
        <w:t>disengagement in the classroom, including behavioral problems</w:t>
      </w:r>
      <w:r>
        <w:t xml:space="preserve"> </w:t>
      </w:r>
      <w:sdt>
        <w:sdtPr>
          <w:id w:val="507294005"/>
          <w:citation/>
        </w:sdtPr>
        <w:sdtContent>
          <w:fldSimple w:instr=" CITATION Her06 \l 1033 ">
            <w:r w:rsidRPr="005D7D32">
              <w:rPr>
                <w:noProof/>
              </w:rPr>
              <w:t>(Herlihy &amp; Quint, 2006)</w:t>
            </w:r>
          </w:fldSimple>
        </w:sdtContent>
      </w:sdt>
      <w:r>
        <w:t>.</w:t>
      </w:r>
    </w:p>
    <w:p w:rsidR="0051370A" w:rsidRDefault="0051370A" w:rsidP="0051370A">
      <w:pPr>
        <w:spacing w:line="320" w:lineRule="exact"/>
        <w:ind w:firstLine="360"/>
      </w:pPr>
      <w:r>
        <w:t xml:space="preserve">Middle school is an area where students can be identified as potential drop outs even earlier. </w:t>
      </w:r>
      <w:r w:rsidRPr="008350F5">
        <w:t>Eighth-graders who miss five weeks</w:t>
      </w:r>
      <w:r>
        <w:t xml:space="preserve"> or more</w:t>
      </w:r>
      <w:r w:rsidRPr="008350F5">
        <w:t xml:space="preserve"> of school</w:t>
      </w:r>
      <w:r>
        <w:t xml:space="preserve"> or </w:t>
      </w:r>
      <w:r w:rsidRPr="008350F5">
        <w:t>fail math or English have at least a 75</w:t>
      </w:r>
      <w:r>
        <w:t>%</w:t>
      </w:r>
      <w:r w:rsidRPr="008350F5">
        <w:t xml:space="preserve"> chance of dropping out of high school </w:t>
      </w:r>
      <w:sdt>
        <w:sdtPr>
          <w:id w:val="483093398"/>
          <w:citation/>
        </w:sdtPr>
        <w:sdtContent>
          <w:fldSimple w:instr=" CITATION Ken07 \l 1033 ">
            <w:r w:rsidRPr="008350F5">
              <w:rPr>
                <w:noProof/>
              </w:rPr>
              <w:t>(Kennelly &amp; Monrad, 2007)</w:t>
            </w:r>
          </w:fldSimple>
        </w:sdtContent>
      </w:sdt>
      <w:r>
        <w:t xml:space="preserve"> </w:t>
      </w:r>
      <w:r w:rsidRPr="006E1855">
        <w:t>and m</w:t>
      </w:r>
      <w:r>
        <w:t xml:space="preserve">any </w:t>
      </w:r>
      <w:r w:rsidRPr="00962E71">
        <w:t xml:space="preserve">future dropouts may be identified as early as sixth </w:t>
      </w:r>
      <w:proofErr w:type="gramStart"/>
      <w:r w:rsidRPr="00962E71">
        <w:t xml:space="preserve">grade </w:t>
      </w:r>
      <w:proofErr w:type="gramEnd"/>
      <w:sdt>
        <w:sdtPr>
          <w:id w:val="483093400"/>
          <w:citation/>
        </w:sdtPr>
        <w:sdtContent>
          <w:fldSimple w:instr=" CITATION Ken07 \l 1033 ">
            <w:r w:rsidRPr="00962E71">
              <w:rPr>
                <w:noProof/>
              </w:rPr>
              <w:t>(Kennelly &amp; Monrad, 2007)</w:t>
            </w:r>
          </w:fldSimple>
        </w:sdtContent>
      </w:sdt>
      <w:r>
        <w:t xml:space="preserve">. Kennelly and </w:t>
      </w:r>
      <w:proofErr w:type="spellStart"/>
      <w:r>
        <w:t>Monrad</w:t>
      </w:r>
      <w:proofErr w:type="spellEnd"/>
      <w:r>
        <w:t xml:space="preserve"> </w:t>
      </w:r>
      <w:sdt>
        <w:sdtPr>
          <w:id w:val="507294019"/>
          <w:citation/>
        </w:sdtPr>
        <w:sdtContent>
          <w:fldSimple w:instr=" CITATION Ken07 \n  \t  \l 1033  ">
            <w:r w:rsidRPr="008350F5">
              <w:rPr>
                <w:noProof/>
              </w:rPr>
              <w:t>(2007)</w:t>
            </w:r>
          </w:fldSimple>
        </w:sdtContent>
      </w:sdt>
      <w:r>
        <w:t xml:space="preserve"> describe</w:t>
      </w:r>
      <w:r w:rsidRPr="00BC638A">
        <w:t xml:space="preserve"> </w:t>
      </w:r>
      <w:r>
        <w:t>“</w:t>
      </w:r>
      <w:r w:rsidRPr="00BC638A">
        <w:t>a window of opportunity in reaching middle-grades students who show signs of poor behavior but who are no</w:t>
      </w:r>
      <w:r>
        <w:t>t yet failing academic subjects” (p. 1). However, they add that “b</w:t>
      </w:r>
      <w:r w:rsidRPr="00BC638A">
        <w:t>y the time future dropouts get to high school, poor behavior and course failure tend to converge among many students who eventually leave school</w:t>
      </w:r>
      <w:proofErr w:type="gramStart"/>
      <w:r>
        <w:t xml:space="preserve">” </w:t>
      </w:r>
      <w:proofErr w:type="gramEnd"/>
      <w:sdt>
        <w:sdtPr>
          <w:id w:val="483093401"/>
          <w:citation/>
        </w:sdtPr>
        <w:sdtContent>
          <w:fldSimple w:instr=" CITATION Ken07 \p 1 \l 1033  ">
            <w:r w:rsidRPr="00B86221">
              <w:rPr>
                <w:noProof/>
              </w:rPr>
              <w:t>(Kennelly &amp; Monrad, 2007, p. 1)</w:t>
            </w:r>
          </w:fldSimple>
        </w:sdtContent>
      </w:sdt>
      <w:r>
        <w:t>.</w:t>
      </w:r>
    </w:p>
    <w:p w:rsidR="0051370A" w:rsidRDefault="0051370A" w:rsidP="0051370A">
      <w:pPr>
        <w:pStyle w:val="ListParagraph"/>
        <w:spacing w:line="320" w:lineRule="exact"/>
        <w:ind w:left="0" w:firstLine="360"/>
      </w:pPr>
      <w:proofErr w:type="spellStart"/>
      <w:r>
        <w:t>Allensworth</w:t>
      </w:r>
      <w:proofErr w:type="spellEnd"/>
      <w:r>
        <w:t xml:space="preserve"> and Easton </w:t>
      </w:r>
      <w:sdt>
        <w:sdtPr>
          <w:id w:val="507294025"/>
          <w:citation/>
        </w:sdtPr>
        <w:sdtContent>
          <w:fldSimple w:instr=" CITATION All07 \n  \t  \l 1033  ">
            <w:r w:rsidRPr="00FC72A1">
              <w:rPr>
                <w:noProof/>
              </w:rPr>
              <w:t>(2007)</w:t>
            </w:r>
          </w:fldSimple>
        </w:sdtContent>
      </w:sdt>
      <w:r>
        <w:t xml:space="preserve"> list several “on track” indicators for students at the end of ninth grade that are 85% successful at predicting who will and will not </w:t>
      </w:r>
      <w:proofErr w:type="gramStart"/>
      <w:r>
        <w:t xml:space="preserve">graduate </w:t>
      </w:r>
      <w:proofErr w:type="gramEnd"/>
      <w:sdt>
        <w:sdtPr>
          <w:id w:val="483093461"/>
          <w:citation/>
        </w:sdtPr>
        <w:sdtContent>
          <w:fldSimple w:instr=" CITATION All07 \l 1033 ">
            <w:r w:rsidRPr="00512E12">
              <w:rPr>
                <w:noProof/>
              </w:rPr>
              <w:t>(Allensworth &amp; Easton, 2007)</w:t>
            </w:r>
          </w:fldSimple>
        </w:sdtContent>
      </w:sdt>
      <w:r>
        <w:t xml:space="preserve">. According to their study, “on-track” students are 4 times more likely to graduate than off-track students. Indicators include: on track students have earned enough credits for promotion to tenth grade, and no more than one F in a core academic subject. Kennelly and </w:t>
      </w:r>
      <w:proofErr w:type="spellStart"/>
      <w:r>
        <w:t>Monrad</w:t>
      </w:r>
      <w:proofErr w:type="spellEnd"/>
      <w:r>
        <w:t xml:space="preserve"> </w:t>
      </w:r>
      <w:sdt>
        <w:sdtPr>
          <w:id w:val="507294029"/>
          <w:citation/>
        </w:sdtPr>
        <w:sdtContent>
          <w:fldSimple w:instr=" CITATION Ken07 \n  \t  \l 1033  ">
            <w:r w:rsidRPr="00F83654">
              <w:rPr>
                <w:noProof/>
              </w:rPr>
              <w:t>(2007)</w:t>
            </w:r>
          </w:fldSimple>
        </w:sdtContent>
      </w:sdt>
      <w:r>
        <w:t xml:space="preserve"> add that promotion minimums are based on 5 full-year course credits.</w:t>
      </w:r>
    </w:p>
    <w:p w:rsidR="0051370A" w:rsidRDefault="0051370A" w:rsidP="0051370A">
      <w:pPr>
        <w:spacing w:line="320" w:lineRule="exact"/>
        <w:ind w:firstLine="360"/>
      </w:pPr>
      <w:proofErr w:type="spellStart"/>
      <w:r w:rsidRPr="001C4697">
        <w:t>Neild</w:t>
      </w:r>
      <w:proofErr w:type="spellEnd"/>
      <w:r w:rsidRPr="001C4697">
        <w:t xml:space="preserve"> </w:t>
      </w:r>
      <w:r>
        <w:t>describes four main theories found in the literature of why students get stuck in their ninth grade year, including l</w:t>
      </w:r>
      <w:r w:rsidRPr="008A6461">
        <w:t>ife-course changes</w:t>
      </w:r>
      <w:r>
        <w:t xml:space="preserve">, transition to a new school, inadequate academic preparation for high school, and high school organization and </w:t>
      </w:r>
      <w:proofErr w:type="gramStart"/>
      <w:r>
        <w:t>climate</w:t>
      </w:r>
      <w:r w:rsidRPr="008A6461">
        <w:t xml:space="preserve"> </w:t>
      </w:r>
      <w:proofErr w:type="gramEnd"/>
      <w:sdt>
        <w:sdtPr>
          <w:id w:val="483093457"/>
          <w:citation/>
        </w:sdtPr>
        <w:sdtContent>
          <w:fldSimple w:instr=" CITATION Nei09 \l 1033 ">
            <w:r w:rsidRPr="00BE3AA0">
              <w:rPr>
                <w:noProof/>
              </w:rPr>
              <w:t>(Neild, 2009)</w:t>
            </w:r>
          </w:fldSimple>
        </w:sdtContent>
      </w:sdt>
      <w:r>
        <w:t>. “P</w:t>
      </w:r>
      <w:r w:rsidRPr="008A6461">
        <w:t>arental influence wanes wh</w:t>
      </w:r>
      <w:r>
        <w:t>en children enter high school”</w:t>
      </w:r>
      <w:sdt>
        <w:sdtPr>
          <w:id w:val="483093459"/>
          <w:citation/>
        </w:sdtPr>
        <w:sdtContent>
          <w:fldSimple w:instr=" CITATION Nei09 \p 58 \n  \y  \t  \l 1033  ">
            <w:r w:rsidRPr="00BE3AA0">
              <w:rPr>
                <w:noProof/>
              </w:rPr>
              <w:t>(p. 58)</w:t>
            </w:r>
          </w:fldSimple>
        </w:sdtContent>
      </w:sdt>
      <w:r>
        <w:t>, however, the body of research indicates that t</w:t>
      </w:r>
      <w:r w:rsidRPr="008A6461">
        <w:t>his theory cannot fully explain the problem</w:t>
      </w:r>
      <w:r>
        <w:t>. Likewise, evidence in the literature indicates that t</w:t>
      </w:r>
      <w:r w:rsidRPr="008A6461">
        <w:t xml:space="preserve">ransition to new school is not likely a major </w:t>
      </w:r>
      <w:proofErr w:type="gramStart"/>
      <w:r w:rsidRPr="008A6461">
        <w:t>cause</w:t>
      </w:r>
      <w:r>
        <w:t xml:space="preserve"> </w:t>
      </w:r>
      <w:proofErr w:type="gramEnd"/>
      <w:sdt>
        <w:sdtPr>
          <w:id w:val="483093456"/>
          <w:citation/>
        </w:sdtPr>
        <w:sdtContent>
          <w:fldSimple w:instr=" CITATION Nei09 \l 1033 ">
            <w:r w:rsidRPr="00BE3AA0">
              <w:rPr>
                <w:noProof/>
              </w:rPr>
              <w:t>(Neild, 2009)</w:t>
            </w:r>
          </w:fldSimple>
        </w:sdtContent>
      </w:sdt>
      <w:r>
        <w:t>. Two areas emerged in the literature as primary areas of concern for improving student achievement and graduation rates: i</w:t>
      </w:r>
      <w:r w:rsidRPr="008A6461">
        <w:t xml:space="preserve">nadequate preparation for high </w:t>
      </w:r>
      <w:r>
        <w:t xml:space="preserve">school, particularly </w:t>
      </w:r>
      <w:r w:rsidRPr="008A6461">
        <w:t>reading</w:t>
      </w:r>
      <w:r>
        <w:t xml:space="preserve"> and math skills below grade level and high school organization and </w:t>
      </w:r>
      <w:proofErr w:type="gramStart"/>
      <w:r>
        <w:t xml:space="preserve">climate </w:t>
      </w:r>
      <w:proofErr w:type="gramEnd"/>
      <w:sdt>
        <w:sdtPr>
          <w:id w:val="483093452"/>
          <w:citation/>
        </w:sdtPr>
        <w:sdtContent>
          <w:fldSimple w:instr=" CITATION Nei09 \l 1033  ">
            <w:r w:rsidRPr="00643218">
              <w:rPr>
                <w:noProof/>
              </w:rPr>
              <w:t>(Neild, 2009)</w:t>
            </w:r>
          </w:fldSimple>
        </w:sdtContent>
      </w:sdt>
      <w:r>
        <w:t>.</w:t>
      </w:r>
    </w:p>
    <w:p w:rsidR="0051370A" w:rsidRPr="008A6461" w:rsidRDefault="0051370A" w:rsidP="0051370A">
      <w:pPr>
        <w:spacing w:line="320" w:lineRule="exact"/>
        <w:ind w:firstLine="360"/>
        <w:rPr>
          <w:iCs/>
        </w:rPr>
      </w:pPr>
      <w:r>
        <w:rPr>
          <w:iCs/>
        </w:rPr>
        <w:lastRenderedPageBreak/>
        <w:t>In reading, the g</w:t>
      </w:r>
      <w:r w:rsidRPr="008A6461">
        <w:t xml:space="preserve">reatest challenge for most freshmen is reading with fluency and </w:t>
      </w:r>
      <w:proofErr w:type="gramStart"/>
      <w:r w:rsidRPr="008A6461">
        <w:t>comprehension</w:t>
      </w:r>
      <w:r>
        <w:t xml:space="preserve"> </w:t>
      </w:r>
      <w:proofErr w:type="gramEnd"/>
      <w:sdt>
        <w:sdtPr>
          <w:id w:val="507294045"/>
          <w:citation/>
        </w:sdtPr>
        <w:sdtContent>
          <w:fldSimple w:instr=" CITATION Nei09 \l 1033 ">
            <w:r w:rsidRPr="00162C4C">
              <w:rPr>
                <w:noProof/>
              </w:rPr>
              <w:t>(Neild, 2009)</w:t>
            </w:r>
          </w:fldSimple>
        </w:sdtContent>
      </w:sdt>
      <w:r>
        <w:t>. Additionally, a thorough understanding</w:t>
      </w:r>
      <w:r w:rsidRPr="008A6461">
        <w:t xml:space="preserve"> of fractions, decimals, and signed numbers during the middle grades</w:t>
      </w:r>
      <w:r>
        <w:t xml:space="preserve"> is missing for many students struggling with math. </w:t>
      </w:r>
      <w:r w:rsidRPr="008A6461">
        <w:rPr>
          <w:iCs/>
        </w:rPr>
        <w:t xml:space="preserve">“Studies of cohorts of Philadelphia students showed that failing math or English in the middle grades was a better predictor than standardized test scores of academic difficulty in ninth grade [indicating that] </w:t>
      </w:r>
      <w:r w:rsidRPr="008A6461">
        <w:t>academic attitudes, behaviors, and coping strategies developed before high school have an effect on ninth-grade outcomes</w:t>
      </w:r>
      <w:r w:rsidRPr="008A6461">
        <w:rPr>
          <w:iCs/>
        </w:rPr>
        <w:t>”</w:t>
      </w:r>
      <w:r>
        <w:rPr>
          <w:iCs/>
        </w:rPr>
        <w:t xml:space="preserve"> </w:t>
      </w:r>
      <w:sdt>
        <w:sdtPr>
          <w:rPr>
            <w:iCs/>
          </w:rPr>
          <w:id w:val="483093454"/>
          <w:citation/>
        </w:sdtPr>
        <w:sdtContent>
          <w:r>
            <w:rPr>
              <w:iCs/>
            </w:rPr>
            <w:fldChar w:fldCharType="begin"/>
          </w:r>
          <w:r>
            <w:rPr>
              <w:iCs/>
            </w:rPr>
            <w:instrText xml:space="preserve"> CITATION Nei09 \p 61 \n  \y  \t  \l 1033  </w:instrText>
          </w:r>
          <w:r>
            <w:rPr>
              <w:iCs/>
            </w:rPr>
            <w:fldChar w:fldCharType="separate"/>
          </w:r>
          <w:r w:rsidRPr="00643218">
            <w:rPr>
              <w:noProof/>
            </w:rPr>
            <w:t>(p. 61)</w:t>
          </w:r>
          <w:r>
            <w:rPr>
              <w:iCs/>
            </w:rPr>
            <w:fldChar w:fldCharType="end"/>
          </w:r>
        </w:sdtContent>
      </w:sdt>
      <w:r>
        <w:rPr>
          <w:iCs/>
        </w:rPr>
        <w:t>.</w:t>
      </w:r>
      <w:r w:rsidRPr="008A6461">
        <w:rPr>
          <w:iCs/>
        </w:rPr>
        <w:t xml:space="preserve"> </w:t>
      </w:r>
      <w:r>
        <w:rPr>
          <w:iCs/>
        </w:rPr>
        <w:t xml:space="preserve"> Extended learning time, or a “double-dose”, of math and/or reading in 90 minute daily blocks for students with skill deficits shows evidence of increasing student achievement in these </w:t>
      </w:r>
      <w:proofErr w:type="gramStart"/>
      <w:r>
        <w:rPr>
          <w:iCs/>
        </w:rPr>
        <w:t xml:space="preserve">areas </w:t>
      </w:r>
      <w:proofErr w:type="gramEnd"/>
      <w:sdt>
        <w:sdtPr>
          <w:rPr>
            <w:iCs/>
          </w:rPr>
          <w:id w:val="507294150"/>
          <w:citation/>
        </w:sdtPr>
        <w:sdtContent>
          <w:r>
            <w:rPr>
              <w:iCs/>
            </w:rPr>
            <w:fldChar w:fldCharType="begin"/>
          </w:r>
          <w:r>
            <w:rPr>
              <w:iCs/>
            </w:rPr>
            <w:instrText xml:space="preserve"> CITATION Nei09 \l 1033 </w:instrText>
          </w:r>
          <w:r>
            <w:rPr>
              <w:iCs/>
            </w:rPr>
            <w:fldChar w:fldCharType="separate"/>
          </w:r>
          <w:r w:rsidRPr="003A7F8B">
            <w:rPr>
              <w:noProof/>
            </w:rPr>
            <w:t>(Neild, 2009)</w:t>
          </w:r>
          <w:r>
            <w:rPr>
              <w:iCs/>
            </w:rPr>
            <w:fldChar w:fldCharType="end"/>
          </w:r>
        </w:sdtContent>
      </w:sdt>
      <w:r>
        <w:rPr>
          <w:iCs/>
        </w:rPr>
        <w:t>.</w:t>
      </w:r>
    </w:p>
    <w:p w:rsidR="0051370A" w:rsidRDefault="0051370A" w:rsidP="0051370A">
      <w:pPr>
        <w:spacing w:line="320" w:lineRule="exact"/>
        <w:ind w:firstLine="360"/>
      </w:pPr>
      <w:r w:rsidRPr="00F22E2F">
        <w:t>High school organization and climate</w:t>
      </w:r>
      <w:r>
        <w:t xml:space="preserve"> emerged as the second area of major </w:t>
      </w:r>
      <w:proofErr w:type="gramStart"/>
      <w:r>
        <w:t>concern</w:t>
      </w:r>
      <w:r w:rsidRPr="00F22E2F">
        <w:t xml:space="preserve"> </w:t>
      </w:r>
      <w:proofErr w:type="gramEnd"/>
      <w:sdt>
        <w:sdtPr>
          <w:id w:val="483093455"/>
          <w:citation/>
        </w:sdtPr>
        <w:sdtContent>
          <w:fldSimple w:instr=" CITATION Nei09 \l 1033 ">
            <w:r w:rsidRPr="00F22E2F">
              <w:rPr>
                <w:noProof/>
              </w:rPr>
              <w:t>(Neild, 2009)</w:t>
            </w:r>
          </w:fldSimple>
        </w:sdtContent>
      </w:sdt>
      <w:r>
        <w:t xml:space="preserve">. </w:t>
      </w:r>
      <w:r w:rsidRPr="008A6461">
        <w:t>Disorganization at beginning of year</w:t>
      </w:r>
      <w:r>
        <w:t>, such as n</w:t>
      </w:r>
      <w:r w:rsidRPr="008A6461">
        <w:t xml:space="preserve">ot </w:t>
      </w:r>
      <w:r>
        <w:t xml:space="preserve">having </w:t>
      </w:r>
      <w:r w:rsidRPr="008A6461">
        <w:t>enough desks</w:t>
      </w:r>
      <w:r>
        <w:t xml:space="preserve"> due to purposeful </w:t>
      </w:r>
      <w:r w:rsidRPr="008A6461">
        <w:t>over-filling classes</w:t>
      </w:r>
      <w:r>
        <w:t xml:space="preserve"> and schedule and teacher</w:t>
      </w:r>
      <w:r w:rsidRPr="008A6461">
        <w:t xml:space="preserve"> changes</w:t>
      </w:r>
      <w:r>
        <w:t xml:space="preserve"> led more students to feel disconnected from school, have difficulty transitioning to high school, and ultimately to dropping out of school altogether. </w:t>
      </w:r>
      <w:r w:rsidRPr="008A6461">
        <w:t>“</w:t>
      </w:r>
      <w:r>
        <w:t>H</w:t>
      </w:r>
      <w:r w:rsidRPr="008A6461">
        <w:t xml:space="preserve">igh schools that </w:t>
      </w:r>
      <w:r>
        <w:t xml:space="preserve">were </w:t>
      </w:r>
      <w:r w:rsidRPr="008A6461">
        <w:t>‘comm</w:t>
      </w:r>
      <w:r>
        <w:t>unally’ organized—where there was</w:t>
      </w:r>
      <w:r w:rsidRPr="008A6461">
        <w:t xml:space="preserve"> shared responsibility and decision making among staff, a commitment to a common set of goals, and an emphasis on personal relationships between teacher and students—experienced greater learning gains than their peers at ‘bureauc</w:t>
      </w:r>
      <w:r>
        <w:t>ratically’ orga</w:t>
      </w:r>
      <w:r>
        <w:softHyphen/>
        <w:t xml:space="preserve">nized schools” </w:t>
      </w:r>
      <w:sdt>
        <w:sdtPr>
          <w:id w:val="483093460"/>
          <w:citation/>
        </w:sdtPr>
        <w:sdtContent>
          <w:fldSimple w:instr=" CITATION Nei09 \p 62 \n  \y  \t  \l 1033  ">
            <w:r w:rsidRPr="00716C19">
              <w:rPr>
                <w:noProof/>
              </w:rPr>
              <w:t>(p. 62)</w:t>
            </w:r>
          </w:fldSimple>
        </w:sdtContent>
      </w:sdt>
      <w:r>
        <w:t>.</w:t>
      </w:r>
    </w:p>
    <w:p w:rsidR="0051370A" w:rsidRPr="0053025F" w:rsidRDefault="0051370A" w:rsidP="0051370A">
      <w:pPr>
        <w:pStyle w:val="Heading2"/>
        <w:spacing w:line="320" w:lineRule="exact"/>
        <w:ind w:firstLine="0"/>
        <w:rPr>
          <w:rFonts w:asciiTheme="minorHAnsi" w:hAnsiTheme="minorHAnsi"/>
          <w:color w:val="auto"/>
          <w:sz w:val="28"/>
          <w:szCs w:val="32"/>
        </w:rPr>
      </w:pPr>
      <w:bookmarkStart w:id="1" w:name="_Toc251598771"/>
      <w:r w:rsidRPr="0053025F">
        <w:rPr>
          <w:rFonts w:asciiTheme="minorHAnsi" w:hAnsiTheme="minorHAnsi" w:cs="New Caledonia"/>
          <w:color w:val="auto"/>
          <w:sz w:val="28"/>
          <w:szCs w:val="32"/>
        </w:rPr>
        <w:t>R</w:t>
      </w:r>
      <w:r w:rsidRPr="0053025F">
        <w:rPr>
          <w:rFonts w:asciiTheme="minorHAnsi" w:hAnsiTheme="minorHAnsi"/>
          <w:color w:val="auto"/>
          <w:sz w:val="28"/>
          <w:szCs w:val="32"/>
        </w:rPr>
        <w:t>esearch-based Best Practices</w:t>
      </w:r>
      <w:bookmarkEnd w:id="1"/>
    </w:p>
    <w:p w:rsidR="0053025F" w:rsidRDefault="0053025F" w:rsidP="0051370A">
      <w:pPr>
        <w:spacing w:line="320" w:lineRule="exact"/>
        <w:ind w:firstLine="360"/>
      </w:pPr>
      <w:r>
        <w:t>How do we</w:t>
      </w:r>
      <w:r w:rsidR="0051370A" w:rsidRPr="00477D82">
        <w:t xml:space="preserve"> address the two main areas of concern revealed in the literature: addressing academic skill deficits in math and reading to prepare students academically for high school and creating the organization and climate that connects students to </w:t>
      </w:r>
      <w:proofErr w:type="gramStart"/>
      <w:r w:rsidR="0051370A" w:rsidRPr="00477D82">
        <w:t>school.</w:t>
      </w:r>
      <w:proofErr w:type="gramEnd"/>
      <w:r w:rsidR="0051370A" w:rsidRPr="00477D82">
        <w:t xml:space="preserve"> </w:t>
      </w:r>
      <w:r w:rsidR="0051370A">
        <w:t xml:space="preserve">From prior practice, it is also evident that organizational change is necessary to support teachers in change efforts. </w:t>
      </w:r>
    </w:p>
    <w:p w:rsidR="0051370A" w:rsidRDefault="0051370A" w:rsidP="0051370A">
      <w:pPr>
        <w:spacing w:line="320" w:lineRule="exact"/>
        <w:ind w:firstLine="360"/>
        <w:rPr>
          <w:rFonts w:cs="New Caledonia"/>
          <w:iCs/>
          <w:color w:val="000000"/>
        </w:rPr>
      </w:pPr>
      <w:r>
        <w:t xml:space="preserve">Kennelly and </w:t>
      </w:r>
      <w:proofErr w:type="spellStart"/>
      <w:r>
        <w:t>Monrad</w:t>
      </w:r>
      <w:proofErr w:type="spellEnd"/>
      <w:r>
        <w:t xml:space="preserve"> </w:t>
      </w:r>
      <w:sdt>
        <w:sdtPr>
          <w:id w:val="507294142"/>
          <w:citation/>
        </w:sdtPr>
        <w:sdtContent>
          <w:fldSimple w:instr=" CITATION Ken07 \l 1033 ">
            <w:r w:rsidRPr="00E12171">
              <w:rPr>
                <w:noProof/>
              </w:rPr>
              <w:t>(Kennelly &amp; Monrad, 2007)</w:t>
            </w:r>
          </w:fldSimple>
        </w:sdtContent>
      </w:sdt>
      <w:r>
        <w:t xml:space="preserve"> identify three c</w:t>
      </w:r>
      <w:r w:rsidRPr="00E12171">
        <w:t>ommon elements shared across numerous successful intervention programs</w:t>
      </w:r>
      <w:r>
        <w:t>: a</w:t>
      </w:r>
      <w:r w:rsidRPr="00871655">
        <w:t xml:space="preserve">ttention to school climate in order to </w:t>
      </w:r>
      <w:r>
        <w:t xml:space="preserve">facilitate student engagement, </w:t>
      </w:r>
      <w:r w:rsidRPr="00871655">
        <w:t>rigorous coursework for all students</w:t>
      </w:r>
      <w:r>
        <w:t xml:space="preserve">, and </w:t>
      </w:r>
      <w:r w:rsidRPr="00871655">
        <w:t>effective use of extended learning time during the school day such as the block schedule</w:t>
      </w:r>
      <w:r>
        <w:t xml:space="preserve">. Kennelly and </w:t>
      </w:r>
      <w:proofErr w:type="spellStart"/>
      <w:r>
        <w:t>Monrad</w:t>
      </w:r>
      <w:proofErr w:type="spellEnd"/>
      <w:r>
        <w:t xml:space="preserve"> </w:t>
      </w:r>
      <w:sdt>
        <w:sdtPr>
          <w:id w:val="507294138"/>
          <w:citation/>
        </w:sdtPr>
        <w:sdtContent>
          <w:fldSimple w:instr=" CITATION Ken07 \n  \t  \l 1033  ">
            <w:r w:rsidRPr="00477D82">
              <w:rPr>
                <w:noProof/>
              </w:rPr>
              <w:t>(2007)</w:t>
            </w:r>
          </w:fldSimple>
        </w:sdtContent>
      </w:sdt>
      <w:r>
        <w:t xml:space="preserve"> further break down the list to common elements to 15 k</w:t>
      </w:r>
      <w:r>
        <w:rPr>
          <w:rFonts w:cs="New Caledonia"/>
          <w:iCs/>
          <w:color w:val="000000"/>
        </w:rPr>
        <w:t>ey c</w:t>
      </w:r>
      <w:r w:rsidRPr="00477D82">
        <w:rPr>
          <w:rFonts w:cs="New Caledonia"/>
          <w:iCs/>
          <w:color w:val="000000"/>
        </w:rPr>
        <w:t xml:space="preserve">haracteristics of </w:t>
      </w:r>
      <w:r>
        <w:rPr>
          <w:rFonts w:cs="New Caledonia"/>
          <w:iCs/>
          <w:color w:val="000000"/>
        </w:rPr>
        <w:t>successful r</w:t>
      </w:r>
      <w:r w:rsidRPr="00477D82">
        <w:rPr>
          <w:rFonts w:cs="New Caledonia"/>
          <w:iCs/>
          <w:color w:val="000000"/>
        </w:rPr>
        <w:t>esearch-</w:t>
      </w:r>
      <w:r>
        <w:rPr>
          <w:rFonts w:cs="New Caledonia"/>
          <w:iCs/>
          <w:color w:val="000000"/>
        </w:rPr>
        <w:t>b</w:t>
      </w:r>
      <w:r w:rsidRPr="00477D82">
        <w:rPr>
          <w:rFonts w:cs="New Caledonia"/>
          <w:iCs/>
          <w:color w:val="000000"/>
        </w:rPr>
        <w:t xml:space="preserve">ased </w:t>
      </w:r>
      <w:r>
        <w:rPr>
          <w:rFonts w:cs="New Caledonia"/>
          <w:iCs/>
          <w:color w:val="000000"/>
        </w:rPr>
        <w:t>high s</w:t>
      </w:r>
      <w:r w:rsidRPr="00477D82">
        <w:rPr>
          <w:rFonts w:cs="New Caledonia"/>
          <w:iCs/>
          <w:color w:val="000000"/>
        </w:rPr>
        <w:t xml:space="preserve">chool </w:t>
      </w:r>
      <w:r>
        <w:rPr>
          <w:rFonts w:cs="New Caledonia"/>
          <w:iCs/>
          <w:color w:val="000000"/>
        </w:rPr>
        <w:t>improvement p</w:t>
      </w:r>
      <w:r w:rsidRPr="00477D82">
        <w:rPr>
          <w:rFonts w:cs="New Caledonia"/>
          <w:iCs/>
          <w:color w:val="000000"/>
        </w:rPr>
        <w:t xml:space="preserve">rograms </w:t>
      </w:r>
      <w:r>
        <w:rPr>
          <w:rFonts w:cs="New Caledonia"/>
          <w:iCs/>
          <w:color w:val="000000"/>
        </w:rPr>
        <w:t xml:space="preserve">that can be divided into the two areas of concern (see Table 1). </w:t>
      </w:r>
    </w:p>
    <w:p w:rsidR="0051370A" w:rsidRDefault="0053025F" w:rsidP="0053025F">
      <w:pPr>
        <w:spacing w:after="200" w:line="276" w:lineRule="auto"/>
        <w:ind w:firstLine="0"/>
        <w:rPr>
          <w:rFonts w:cs="New Caledonia"/>
          <w:iCs/>
          <w:color w:val="000000"/>
        </w:rPr>
      </w:pPr>
      <w:r>
        <w:rPr>
          <w:rFonts w:cs="New Caledonia"/>
          <w:iCs/>
          <w:color w:val="000000"/>
        </w:rPr>
        <w:br w:type="page"/>
      </w: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none" w:sz="0" w:space="0" w:color="auto"/>
          <w:insideV w:val="none" w:sz="0" w:space="0" w:color="auto"/>
        </w:tblBorders>
        <w:tblLayout w:type="fixed"/>
        <w:tblLook w:val="04A0"/>
      </w:tblPr>
      <w:tblGrid>
        <w:gridCol w:w="2448"/>
        <w:gridCol w:w="2340"/>
        <w:gridCol w:w="1530"/>
        <w:gridCol w:w="1530"/>
        <w:gridCol w:w="1728"/>
      </w:tblGrid>
      <w:tr w:rsidR="0051370A" w:rsidTr="00A670C4">
        <w:tc>
          <w:tcPr>
            <w:tcW w:w="4788" w:type="dxa"/>
            <w:gridSpan w:val="2"/>
            <w:tcBorders>
              <w:top w:val="single" w:sz="18" w:space="0" w:color="000000" w:themeColor="text1"/>
              <w:bottom w:val="single" w:sz="18" w:space="0" w:color="000000" w:themeColor="text1"/>
              <w:right w:val="single" w:sz="18" w:space="0" w:color="000000" w:themeColor="text1"/>
            </w:tcBorders>
          </w:tcPr>
          <w:p w:rsidR="0051370A" w:rsidRPr="0053025F" w:rsidRDefault="0051370A" w:rsidP="0051370A">
            <w:pPr>
              <w:spacing w:line="320" w:lineRule="exact"/>
              <w:ind w:firstLine="0"/>
              <w:jc w:val="center"/>
              <w:rPr>
                <w:b/>
                <w:sz w:val="28"/>
                <w:szCs w:val="28"/>
              </w:rPr>
            </w:pPr>
            <w:r w:rsidRPr="0053025F">
              <w:rPr>
                <w:b/>
                <w:sz w:val="28"/>
                <w:szCs w:val="28"/>
              </w:rPr>
              <w:lastRenderedPageBreak/>
              <w:t>Academic Preparation</w:t>
            </w:r>
          </w:p>
        </w:tc>
        <w:tc>
          <w:tcPr>
            <w:tcW w:w="4788" w:type="dxa"/>
            <w:gridSpan w:val="3"/>
            <w:tcBorders>
              <w:top w:val="single" w:sz="18" w:space="0" w:color="000000" w:themeColor="text1"/>
              <w:left w:val="single" w:sz="18" w:space="0" w:color="000000" w:themeColor="text1"/>
              <w:bottom w:val="single" w:sz="18" w:space="0" w:color="000000" w:themeColor="text1"/>
            </w:tcBorders>
          </w:tcPr>
          <w:p w:rsidR="0051370A" w:rsidRPr="0053025F" w:rsidRDefault="0051370A" w:rsidP="0051370A">
            <w:pPr>
              <w:spacing w:line="320" w:lineRule="exact"/>
              <w:ind w:firstLine="0"/>
              <w:jc w:val="center"/>
              <w:rPr>
                <w:rFonts w:cs="New Caledonia"/>
                <w:b/>
                <w:iCs/>
                <w:color w:val="000000"/>
                <w:sz w:val="28"/>
                <w:szCs w:val="28"/>
              </w:rPr>
            </w:pPr>
            <w:r w:rsidRPr="0053025F">
              <w:rPr>
                <w:b/>
                <w:sz w:val="28"/>
                <w:szCs w:val="28"/>
              </w:rPr>
              <w:t>Organization and Climate</w:t>
            </w:r>
          </w:p>
        </w:tc>
      </w:tr>
      <w:tr w:rsidR="0051370A" w:rsidTr="00A670C4">
        <w:tc>
          <w:tcPr>
            <w:tcW w:w="2448" w:type="dxa"/>
            <w:tcBorders>
              <w:top w:val="single" w:sz="1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sz w:val="24"/>
                <w:szCs w:val="24"/>
              </w:rPr>
            </w:pPr>
            <w:r w:rsidRPr="00A02D8C">
              <w:rPr>
                <w:sz w:val="24"/>
                <w:szCs w:val="24"/>
              </w:rPr>
              <w:t>Focus on achievement in core courses</w:t>
            </w:r>
          </w:p>
        </w:tc>
        <w:tc>
          <w:tcPr>
            <w:tcW w:w="2340" w:type="dxa"/>
            <w:tcBorders>
              <w:top w:val="single" w:sz="18" w:space="0" w:color="000000" w:themeColor="text1"/>
              <w:left w:val="single" w:sz="8" w:space="0" w:color="000000" w:themeColor="text1"/>
              <w:bottom w:val="single" w:sz="8" w:space="0" w:color="000000" w:themeColor="text1"/>
              <w:right w:val="single" w:sz="18" w:space="0" w:color="000000" w:themeColor="text1"/>
            </w:tcBorders>
          </w:tcPr>
          <w:p w:rsidR="0051370A" w:rsidRPr="00A02D8C" w:rsidRDefault="0051370A" w:rsidP="0051370A">
            <w:pPr>
              <w:spacing w:line="320" w:lineRule="exact"/>
              <w:ind w:firstLine="0"/>
              <w:rPr>
                <w:sz w:val="24"/>
                <w:szCs w:val="24"/>
              </w:rPr>
            </w:pPr>
            <w:r w:rsidRPr="00A02D8C">
              <w:rPr>
                <w:sz w:val="24"/>
                <w:szCs w:val="24"/>
              </w:rPr>
              <w:t>Tiered approach to providing behavioral and/or academic support from universal to most intensive</w:t>
            </w:r>
          </w:p>
        </w:tc>
        <w:tc>
          <w:tcPr>
            <w:tcW w:w="1530" w:type="dxa"/>
            <w:tcBorders>
              <w:top w:val="single" w:sz="18" w:space="0" w:color="000000" w:themeColor="text1"/>
              <w:left w:val="single" w:sz="1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sz w:val="24"/>
                <w:szCs w:val="24"/>
              </w:rPr>
            </w:pPr>
            <w:r w:rsidRPr="00A02D8C">
              <w:rPr>
                <w:sz w:val="24"/>
                <w:szCs w:val="24"/>
              </w:rPr>
              <w:t>Ensuring partnerships between high schools and feeder middle schools</w:t>
            </w:r>
          </w:p>
        </w:tc>
        <w:tc>
          <w:tcPr>
            <w:tcW w:w="1530" w:type="dxa"/>
            <w:tcBorders>
              <w:top w:val="single" w:sz="18" w:space="0" w:color="000000" w:themeColor="text1"/>
              <w:left w:val="single" w:sz="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Ninth Grade Academies or transition programs</w:t>
            </w:r>
          </w:p>
        </w:tc>
        <w:tc>
          <w:tcPr>
            <w:tcW w:w="1728" w:type="dxa"/>
            <w:tcBorders>
              <w:top w:val="single" w:sz="18" w:space="0" w:color="000000" w:themeColor="text1"/>
              <w:left w:val="single" w:sz="8" w:space="0" w:color="000000" w:themeColor="text1"/>
              <w:bottom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Small learning communities for greater personalization/School within a school</w:t>
            </w:r>
          </w:p>
        </w:tc>
      </w:tr>
      <w:tr w:rsidR="0051370A" w:rsidTr="00A670C4">
        <w:tc>
          <w:tcPr>
            <w:tcW w:w="2448" w:type="dxa"/>
            <w:tcBorders>
              <w:top w:val="single" w:sz="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sz w:val="24"/>
                <w:szCs w:val="24"/>
              </w:rPr>
            </w:pPr>
            <w:r w:rsidRPr="00A02D8C">
              <w:rPr>
                <w:sz w:val="24"/>
                <w:szCs w:val="24"/>
              </w:rPr>
              <w:t>Catch-up courses</w:t>
            </w:r>
          </w:p>
        </w:tc>
        <w:tc>
          <w:tcPr>
            <w:tcW w:w="2340" w:type="dxa"/>
            <w:tcBorders>
              <w:top w:val="single" w:sz="8" w:space="0" w:color="000000" w:themeColor="text1"/>
              <w:left w:val="single" w:sz="8" w:space="0" w:color="000000" w:themeColor="text1"/>
              <w:bottom w:val="single" w:sz="8" w:space="0" w:color="000000" w:themeColor="text1"/>
              <w:right w:val="single" w:sz="18" w:space="0" w:color="000000" w:themeColor="text1"/>
            </w:tcBorders>
          </w:tcPr>
          <w:p w:rsidR="0051370A" w:rsidRPr="00A02D8C" w:rsidRDefault="0051370A" w:rsidP="0051370A">
            <w:pPr>
              <w:spacing w:line="320" w:lineRule="exact"/>
              <w:ind w:firstLine="0"/>
              <w:rPr>
                <w:sz w:val="24"/>
                <w:szCs w:val="24"/>
              </w:rPr>
            </w:pPr>
            <w:r w:rsidRPr="00A02D8C">
              <w:rPr>
                <w:sz w:val="24"/>
                <w:szCs w:val="24"/>
              </w:rPr>
              <w:t>Tutoring as an academic support</w:t>
            </w:r>
          </w:p>
        </w:tc>
        <w:tc>
          <w:tcPr>
            <w:tcW w:w="1530" w:type="dxa"/>
            <w:tcBorders>
              <w:top w:val="single" w:sz="8" w:space="0" w:color="000000" w:themeColor="text1"/>
              <w:left w:val="single" w:sz="1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sz w:val="24"/>
                <w:szCs w:val="24"/>
              </w:rPr>
            </w:pPr>
            <w:r w:rsidRPr="00A02D8C">
              <w:rPr>
                <w:sz w:val="24"/>
                <w:szCs w:val="24"/>
              </w:rPr>
              <w:t>Attendance and behavior monitors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Homeroom, teams or looping</w:t>
            </w:r>
          </w:p>
        </w:tc>
        <w:tc>
          <w:tcPr>
            <w:tcW w:w="1728" w:type="dxa"/>
            <w:tcBorders>
              <w:top w:val="single" w:sz="8" w:space="0" w:color="000000" w:themeColor="text1"/>
              <w:left w:val="single" w:sz="8" w:space="0" w:color="000000" w:themeColor="text1"/>
              <w:bottom w:val="single" w:sz="8" w:space="0" w:color="000000" w:themeColor="text1"/>
            </w:tcBorders>
          </w:tcPr>
          <w:p w:rsidR="0051370A" w:rsidRPr="00A02D8C" w:rsidRDefault="0051370A" w:rsidP="0051370A">
            <w:pPr>
              <w:spacing w:line="320" w:lineRule="exact"/>
              <w:ind w:firstLine="0"/>
              <w:rPr>
                <w:sz w:val="24"/>
                <w:szCs w:val="24"/>
              </w:rPr>
            </w:pPr>
            <w:r w:rsidRPr="00A02D8C">
              <w:rPr>
                <w:sz w:val="24"/>
                <w:szCs w:val="24"/>
              </w:rPr>
              <w:t>Community engagement</w:t>
            </w:r>
          </w:p>
        </w:tc>
      </w:tr>
      <w:tr w:rsidR="0051370A" w:rsidTr="00A670C4">
        <w:trPr>
          <w:trHeight w:val="1439"/>
        </w:trPr>
        <w:tc>
          <w:tcPr>
            <w:tcW w:w="2448" w:type="dxa"/>
            <w:tcBorders>
              <w:top w:val="single" w:sz="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Focus on positive effects for diverse students</w:t>
            </w:r>
          </w:p>
        </w:tc>
        <w:tc>
          <w:tcPr>
            <w:tcW w:w="2340" w:type="dxa"/>
            <w:tcBorders>
              <w:top w:val="single" w:sz="8" w:space="0" w:color="000000" w:themeColor="text1"/>
              <w:left w:val="single" w:sz="8" w:space="0" w:color="000000" w:themeColor="text1"/>
              <w:bottom w:val="single" w:sz="8" w:space="0" w:color="000000" w:themeColor="text1"/>
              <w:right w:val="single" w:sz="1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Focus on positive effects for students with disabilities</w:t>
            </w:r>
          </w:p>
        </w:tc>
        <w:tc>
          <w:tcPr>
            <w:tcW w:w="1530" w:type="dxa"/>
            <w:tcBorders>
              <w:top w:val="single" w:sz="8" w:space="0" w:color="000000" w:themeColor="text1"/>
              <w:left w:val="single" w:sz="1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Family engagement</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Counseling/Mentoring</w:t>
            </w:r>
          </w:p>
        </w:tc>
        <w:tc>
          <w:tcPr>
            <w:tcW w:w="1728" w:type="dxa"/>
            <w:tcBorders>
              <w:top w:val="single" w:sz="8" w:space="0" w:color="000000" w:themeColor="text1"/>
              <w:left w:val="single" w:sz="8" w:space="0" w:color="000000" w:themeColor="text1"/>
              <w:bottom w:val="single" w:sz="8" w:space="0" w:color="000000" w:themeColor="text1"/>
            </w:tcBorders>
          </w:tcPr>
          <w:p w:rsidR="0051370A" w:rsidRPr="00A02D8C" w:rsidRDefault="0051370A" w:rsidP="0051370A">
            <w:pPr>
              <w:spacing w:line="320" w:lineRule="exact"/>
              <w:ind w:firstLine="0"/>
              <w:rPr>
                <w:rFonts w:cs="New Caledonia"/>
                <w:iCs/>
                <w:color w:val="000000"/>
                <w:sz w:val="24"/>
                <w:szCs w:val="24"/>
              </w:rPr>
            </w:pPr>
            <w:r w:rsidRPr="00A02D8C">
              <w:rPr>
                <w:sz w:val="24"/>
                <w:szCs w:val="24"/>
              </w:rPr>
              <w:t>Career/College awareness</w:t>
            </w:r>
          </w:p>
        </w:tc>
      </w:tr>
    </w:tbl>
    <w:p w:rsidR="0051370A" w:rsidRPr="00477D82" w:rsidRDefault="0051370A" w:rsidP="0051370A">
      <w:pPr>
        <w:spacing w:line="320" w:lineRule="exact"/>
        <w:ind w:firstLine="0"/>
        <w:rPr>
          <w:rFonts w:cs="New Caledonia"/>
          <w:iCs/>
          <w:color w:val="000000"/>
        </w:rPr>
      </w:pPr>
      <w:proofErr w:type="gramStart"/>
      <w:r>
        <w:t>Table 1.</w:t>
      </w:r>
      <w:proofErr w:type="gramEnd"/>
      <w:r>
        <w:t xml:space="preserve"> Key characteristics of successful research-based high school improvement programs</w:t>
      </w:r>
    </w:p>
    <w:p w:rsidR="0051370A" w:rsidRPr="0051370A" w:rsidRDefault="0051370A" w:rsidP="0051370A">
      <w:pPr>
        <w:pStyle w:val="Heading2"/>
        <w:spacing w:line="320" w:lineRule="exact"/>
        <w:ind w:firstLine="0"/>
        <w:rPr>
          <w:rFonts w:asciiTheme="minorHAnsi" w:hAnsiTheme="minorHAnsi"/>
          <w:color w:val="auto"/>
          <w:sz w:val="24"/>
          <w:szCs w:val="28"/>
        </w:rPr>
      </w:pPr>
      <w:bookmarkStart w:id="2" w:name="_Toc251598772"/>
      <w:r w:rsidRPr="0051370A">
        <w:rPr>
          <w:rFonts w:asciiTheme="minorHAnsi" w:hAnsiTheme="minorHAnsi"/>
          <w:color w:val="auto"/>
          <w:sz w:val="22"/>
          <w:szCs w:val="28"/>
        </w:rPr>
        <w:t>Addressing academic skill deficits in math and reading</w:t>
      </w:r>
      <w:bookmarkEnd w:id="2"/>
    </w:p>
    <w:p w:rsidR="0051370A" w:rsidRPr="00B51DE8" w:rsidRDefault="0051370A" w:rsidP="0051370A">
      <w:pPr>
        <w:spacing w:line="320" w:lineRule="exact"/>
        <w:ind w:firstLine="360"/>
      </w:pPr>
      <w:r>
        <w:t xml:space="preserve">The literature provides specific curriculum evaluation for several reading and math interventions aimed at addressing academic skill deficits in these areas. Besides specific curriculum, research provides evidence that extended time or “double-dosing” of math and reading in daily, 90 minute blocks during the ninth grade year leads to increases in student achievement </w:t>
      </w:r>
      <w:sdt>
        <w:sdtPr>
          <w:id w:val="507294736"/>
          <w:citation/>
        </w:sdtPr>
        <w:sdtContent>
          <w:fldSimple w:instr=" CITATION Nei09 \l 1033 ">
            <w:r>
              <w:rPr>
                <w:noProof/>
              </w:rPr>
              <w:t>(Neild, 2009)</w:t>
            </w:r>
          </w:fldSimple>
        </w:sdtContent>
      </w:sdt>
      <w:r>
        <w:t>. In addition, students who continue to demonstrate skill deficits at the end of the ninth grade year benefit from double-dosing in the tenth grade year.</w:t>
      </w:r>
    </w:p>
    <w:p w:rsidR="0051370A" w:rsidRPr="0051370A" w:rsidRDefault="0051370A" w:rsidP="0051370A">
      <w:pPr>
        <w:pStyle w:val="Heading2"/>
        <w:spacing w:line="320" w:lineRule="exact"/>
        <w:ind w:firstLine="0"/>
        <w:rPr>
          <w:rFonts w:asciiTheme="minorHAnsi" w:hAnsiTheme="minorHAnsi"/>
          <w:color w:val="auto"/>
          <w:sz w:val="22"/>
          <w:szCs w:val="28"/>
        </w:rPr>
      </w:pPr>
      <w:bookmarkStart w:id="3" w:name="_Toc251598773"/>
      <w:r w:rsidRPr="0051370A">
        <w:rPr>
          <w:rFonts w:asciiTheme="minorHAnsi" w:hAnsiTheme="minorHAnsi"/>
          <w:color w:val="auto"/>
          <w:sz w:val="22"/>
          <w:szCs w:val="28"/>
        </w:rPr>
        <w:t>Creating the organization and structure to connect students to school</w:t>
      </w:r>
      <w:bookmarkEnd w:id="3"/>
    </w:p>
    <w:p w:rsidR="0051370A" w:rsidRDefault="0051370A" w:rsidP="0051370A">
      <w:pPr>
        <w:spacing w:line="320" w:lineRule="exact"/>
        <w:ind w:firstLine="360"/>
      </w:pPr>
      <w:r w:rsidRPr="006E4E93">
        <w:t>“Small learning communities, in which groups of students share the same cadre of core subject</w:t>
      </w:r>
      <w:r>
        <w:t xml:space="preserve"> </w:t>
      </w:r>
      <w:r w:rsidRPr="006E4E93">
        <w:t xml:space="preserve">teachers, help students feel that their teachers know and care about them, as student survey data from two evaluations attest” </w:t>
      </w:r>
      <w:sdt>
        <w:sdtPr>
          <w:id w:val="438560620"/>
          <w:citation/>
        </w:sdtPr>
        <w:sdtContent>
          <w:fldSimple w:instr=" CITATION Her06 \p 5 \l 1033  ">
            <w:r w:rsidRPr="006E4E93">
              <w:rPr>
                <w:noProof/>
              </w:rPr>
              <w:t>(Herlihy &amp; Quint, 2006, p. 5)</w:t>
            </w:r>
          </w:fldSimple>
        </w:sdtContent>
      </w:sdt>
      <w:r>
        <w:t xml:space="preserve">. Kennelly and </w:t>
      </w:r>
      <w:proofErr w:type="spellStart"/>
      <w:r>
        <w:t>Monrad</w:t>
      </w:r>
      <w:proofErr w:type="spellEnd"/>
      <w:r>
        <w:t xml:space="preserve"> </w:t>
      </w:r>
      <w:sdt>
        <w:sdtPr>
          <w:id w:val="507294164"/>
          <w:citation/>
        </w:sdtPr>
        <w:sdtContent>
          <w:fldSimple w:instr=" CITATION Ken07 \n  \t  \l 1033  ">
            <w:r>
              <w:rPr>
                <w:noProof/>
              </w:rPr>
              <w:t>(2007)</w:t>
            </w:r>
          </w:fldSimple>
        </w:sdtContent>
      </w:sdt>
      <w:r>
        <w:t xml:space="preserve"> conclude that g</w:t>
      </w:r>
      <w:r w:rsidRPr="005502D1">
        <w:t>rouping ninth graders into interdisciplinary teams resulted in significantly lower dropout rates</w:t>
      </w:r>
      <w:r>
        <w:t xml:space="preserve">. </w:t>
      </w:r>
      <w:proofErr w:type="spellStart"/>
      <w:r>
        <w:t>Herlihy</w:t>
      </w:r>
      <w:proofErr w:type="spellEnd"/>
      <w:r>
        <w:t xml:space="preserve"> and </w:t>
      </w:r>
      <w:proofErr w:type="spellStart"/>
      <w:r>
        <w:t>Quint</w:t>
      </w:r>
      <w:proofErr w:type="spellEnd"/>
      <w:r>
        <w:t xml:space="preserve"> </w:t>
      </w:r>
      <w:sdt>
        <w:sdtPr>
          <w:id w:val="507294192"/>
          <w:citation/>
        </w:sdtPr>
        <w:sdtContent>
          <w:fldSimple w:instr=" CITATION Her06 \n  \t  \l 1033  ">
            <w:r>
              <w:rPr>
                <w:noProof/>
              </w:rPr>
              <w:t>(2006)</w:t>
            </w:r>
          </w:fldSimple>
        </w:sdtContent>
      </w:sdt>
      <w:r>
        <w:t xml:space="preserve"> found that f</w:t>
      </w:r>
      <w:r w:rsidRPr="008A6461">
        <w:t>irst time ninth gr</w:t>
      </w:r>
      <w:r>
        <w:t>aders placed in separate freshme</w:t>
      </w:r>
      <w:r w:rsidRPr="008A6461">
        <w:t>n academies achieved an average increase in attendance of 9 days and an 8% increase in rate of promotion to grade 10</w:t>
      </w:r>
      <w:r>
        <w:t>. Furthermore, t</w:t>
      </w:r>
      <w:r w:rsidRPr="008A6461">
        <w:t>hematic based smaller learning</w:t>
      </w:r>
      <w:r>
        <w:t xml:space="preserve"> communities involving a freshme</w:t>
      </w:r>
      <w:r w:rsidRPr="008A6461">
        <w:t xml:space="preserve">n academy model or all four high school grades showed increased attendance of 3 </w:t>
      </w:r>
      <w:r>
        <w:t xml:space="preserve">to 15 days per year and </w:t>
      </w:r>
      <w:r w:rsidRPr="008A6461">
        <w:t>decrease</w:t>
      </w:r>
      <w:r>
        <w:t>d</w:t>
      </w:r>
      <w:r w:rsidRPr="008A6461">
        <w:t xml:space="preserve"> dropout rates</w:t>
      </w:r>
      <w:r>
        <w:t xml:space="preserve"> with</w:t>
      </w:r>
      <w:r w:rsidRPr="008A6461">
        <w:t xml:space="preserve"> 3 to 6 fewer students o</w:t>
      </w:r>
      <w:r>
        <w:t>ut of every 100 students dropping</w:t>
      </w:r>
      <w:r w:rsidRPr="008A6461">
        <w:t xml:space="preserve"> out</w:t>
      </w:r>
      <w:r w:rsidR="0053025F">
        <w:t xml:space="preserve"> </w:t>
      </w:r>
      <w:sdt>
        <w:sdtPr>
          <w:id w:val="438560626"/>
          <w:citation/>
        </w:sdtPr>
        <w:sdtContent>
          <w:fldSimple w:instr=" CITATION Her06 \l 1033  ">
            <w:r w:rsidRPr="008A6461">
              <w:rPr>
                <w:noProof/>
              </w:rPr>
              <w:t>(Herlihy &amp; Quint, 2006)</w:t>
            </w:r>
          </w:fldSimple>
        </w:sdtContent>
      </w:sdt>
      <w:r>
        <w:t xml:space="preserve">. </w:t>
      </w:r>
      <w:proofErr w:type="spellStart"/>
      <w:r>
        <w:t>Neild</w:t>
      </w:r>
      <w:proofErr w:type="spellEnd"/>
      <w:r>
        <w:t xml:space="preserve"> </w:t>
      </w:r>
      <w:sdt>
        <w:sdtPr>
          <w:id w:val="507294199"/>
          <w:citation/>
        </w:sdtPr>
        <w:sdtContent>
          <w:fldSimple w:instr=" CITATION Nei09 \n  \t  \l 1033  ">
            <w:r>
              <w:rPr>
                <w:noProof/>
              </w:rPr>
              <w:t>(2009)</w:t>
            </w:r>
          </w:fldSimple>
        </w:sdtContent>
      </w:sdt>
      <w:r>
        <w:t xml:space="preserve"> cautions that teaming needs to cont</w:t>
      </w:r>
      <w:r w:rsidR="0053025F">
        <w:t xml:space="preserve">inue beyond </w:t>
      </w:r>
      <w:r>
        <w:t>ninth grade</w:t>
      </w:r>
      <w:r w:rsidRPr="008A6461">
        <w:t xml:space="preserve"> to include supportive, smaller learning communities in </w:t>
      </w:r>
      <w:r>
        <w:t xml:space="preserve">the upper </w:t>
      </w:r>
      <w:r w:rsidRPr="008A6461">
        <w:t>grades</w:t>
      </w:r>
      <w:r>
        <w:t xml:space="preserve">. </w:t>
      </w:r>
    </w:p>
    <w:p w:rsidR="0051370A" w:rsidRDefault="0051370A" w:rsidP="0051370A">
      <w:pPr>
        <w:spacing w:line="320" w:lineRule="exact"/>
        <w:ind w:firstLine="360"/>
      </w:pPr>
      <w:proofErr w:type="spellStart"/>
      <w:r>
        <w:t>Neild</w:t>
      </w:r>
      <w:proofErr w:type="spellEnd"/>
      <w:r>
        <w:t xml:space="preserve"> </w:t>
      </w:r>
      <w:sdt>
        <w:sdtPr>
          <w:id w:val="507294203"/>
          <w:citation/>
        </w:sdtPr>
        <w:sdtContent>
          <w:fldSimple w:instr=" CITATION Nei09 \n  \t  \l 1033  ">
            <w:r>
              <w:rPr>
                <w:noProof/>
              </w:rPr>
              <w:t>(2009)</w:t>
            </w:r>
          </w:fldSimple>
        </w:sdtContent>
      </w:sdt>
      <w:r>
        <w:t xml:space="preserve"> also recommends a voluntary, four week, 5 days per week, summer bridge program between eighth and ninth grade for students in the 35</w:t>
      </w:r>
      <w:r w:rsidRPr="00DA1491">
        <w:rPr>
          <w:vertAlign w:val="superscript"/>
        </w:rPr>
        <w:t>th</w:t>
      </w:r>
      <w:r>
        <w:t xml:space="preserve"> to 49</w:t>
      </w:r>
      <w:r w:rsidRPr="00DA1491">
        <w:rPr>
          <w:vertAlign w:val="superscript"/>
        </w:rPr>
        <w:t>th</w:t>
      </w:r>
      <w:r>
        <w:t xml:space="preserve"> percentile in reading or math scores since this is the group often overlooked. According to </w:t>
      </w:r>
      <w:proofErr w:type="spellStart"/>
      <w:proofErr w:type="gramStart"/>
      <w:r>
        <w:t>Neild</w:t>
      </w:r>
      <w:proofErr w:type="spellEnd"/>
      <w:r>
        <w:t xml:space="preserve"> </w:t>
      </w:r>
      <w:proofErr w:type="gramEnd"/>
      <w:sdt>
        <w:sdtPr>
          <w:id w:val="507294204"/>
          <w:citation/>
        </w:sdtPr>
        <w:sdtContent>
          <w:fldSimple w:instr=" CITATION Nei09 \n  \t  \l 1033  ">
            <w:r>
              <w:rPr>
                <w:noProof/>
              </w:rPr>
              <w:t>(2009)</w:t>
            </w:r>
          </w:fldSimple>
        </w:sdtContent>
      </w:sdt>
      <w:r>
        <w:t xml:space="preserve">, students in this score range are most likely to be helped by this type of program and most likely to become </w:t>
      </w:r>
      <w:r>
        <w:lastRenderedPageBreak/>
        <w:t xml:space="preserve">disconnected from school during the ninth grade transition year. Students at lower levels are likely already fairly disconnected from school with significant absenteeism as the major cause for low scores, grades, and disengagement. A summer bridge program can help students </w:t>
      </w:r>
      <w:r w:rsidRPr="008A6461">
        <w:t xml:space="preserve">Increase math </w:t>
      </w:r>
      <w:r>
        <w:t>and/</w:t>
      </w:r>
      <w:r w:rsidRPr="008A6461">
        <w:t>or reading comprehension skills</w:t>
      </w:r>
      <w:r>
        <w:t>, t</w:t>
      </w:r>
      <w:r w:rsidRPr="008A6461">
        <w:t>each study strategies</w:t>
      </w:r>
      <w:r>
        <w:t>, o</w:t>
      </w:r>
      <w:r w:rsidRPr="008A6461">
        <w:t>rient students to layout of the school</w:t>
      </w:r>
      <w:r>
        <w:t>, and introduce students to</w:t>
      </w:r>
      <w:r w:rsidRPr="008A6461">
        <w:t xml:space="preserve"> teachers and class</w:t>
      </w:r>
      <w:r w:rsidR="0053025F">
        <w:t xml:space="preserve"> </w:t>
      </w:r>
      <w:r w:rsidRPr="008A6461">
        <w:t>mates</w:t>
      </w:r>
      <w:r>
        <w:t xml:space="preserve"> </w:t>
      </w:r>
      <w:sdt>
        <w:sdtPr>
          <w:id w:val="507294213"/>
          <w:citation/>
        </w:sdtPr>
        <w:sdtContent>
          <w:fldSimple w:instr=" CITATION Nei09 \l 1033 ">
            <w:r>
              <w:rPr>
                <w:noProof/>
              </w:rPr>
              <w:t xml:space="preserve"> (Neild, 2009)</w:t>
            </w:r>
          </w:fldSimple>
        </w:sdtContent>
      </w:sdt>
      <w:r>
        <w:t>.</w:t>
      </w:r>
    </w:p>
    <w:p w:rsidR="0051370A" w:rsidRDefault="0051370A" w:rsidP="0051370A">
      <w:pPr>
        <w:pStyle w:val="Heading2"/>
        <w:spacing w:before="0" w:line="320" w:lineRule="exact"/>
        <w:ind w:firstLine="0"/>
        <w:rPr>
          <w:rFonts w:asciiTheme="minorHAnsi" w:hAnsiTheme="minorHAnsi"/>
          <w:color w:val="auto"/>
          <w:sz w:val="24"/>
          <w:szCs w:val="28"/>
        </w:rPr>
      </w:pPr>
      <w:bookmarkStart w:id="4" w:name="_Toc251598774"/>
    </w:p>
    <w:p w:rsidR="0051370A" w:rsidRPr="0053025F" w:rsidRDefault="0051370A" w:rsidP="0051370A">
      <w:pPr>
        <w:pStyle w:val="Heading2"/>
        <w:spacing w:before="0" w:line="320" w:lineRule="exact"/>
        <w:ind w:firstLine="0"/>
        <w:rPr>
          <w:rFonts w:asciiTheme="minorHAnsi" w:hAnsiTheme="minorHAnsi"/>
          <w:color w:val="auto"/>
          <w:sz w:val="24"/>
          <w:szCs w:val="28"/>
        </w:rPr>
      </w:pPr>
      <w:r w:rsidRPr="0053025F">
        <w:rPr>
          <w:rFonts w:asciiTheme="minorHAnsi" w:hAnsiTheme="minorHAnsi"/>
          <w:color w:val="auto"/>
          <w:sz w:val="24"/>
          <w:szCs w:val="28"/>
        </w:rPr>
        <w:t>What supports do teachers need to increase instructional effectiveness in the classroom?</w:t>
      </w:r>
      <w:bookmarkEnd w:id="4"/>
    </w:p>
    <w:p w:rsidR="0051370A" w:rsidRDefault="0051370A" w:rsidP="0051370A">
      <w:pPr>
        <w:pStyle w:val="Heading3"/>
        <w:spacing w:before="0" w:line="320" w:lineRule="exact"/>
        <w:ind w:firstLine="360"/>
        <w:rPr>
          <w:rFonts w:asciiTheme="minorHAnsi" w:hAnsiTheme="minorHAnsi"/>
          <w:i/>
          <w:color w:val="auto"/>
        </w:rPr>
      </w:pPr>
      <w:bookmarkStart w:id="5" w:name="_Toc251598775"/>
    </w:p>
    <w:p w:rsidR="0051370A" w:rsidRPr="00521E0D" w:rsidRDefault="0051370A" w:rsidP="0051370A">
      <w:pPr>
        <w:pStyle w:val="Heading3"/>
        <w:spacing w:before="0" w:line="320" w:lineRule="exact"/>
        <w:ind w:firstLine="360"/>
        <w:rPr>
          <w:rFonts w:asciiTheme="minorHAnsi" w:hAnsiTheme="minorHAnsi"/>
          <w:i/>
          <w:color w:val="auto"/>
        </w:rPr>
      </w:pPr>
      <w:r w:rsidRPr="00521E0D">
        <w:rPr>
          <w:rFonts w:asciiTheme="minorHAnsi" w:hAnsiTheme="minorHAnsi"/>
          <w:i/>
          <w:color w:val="auto"/>
        </w:rPr>
        <w:t>Time and Space</w:t>
      </w:r>
      <w:bookmarkEnd w:id="5"/>
    </w:p>
    <w:p w:rsidR="0051370A" w:rsidRDefault="0051370A" w:rsidP="0051370A">
      <w:pPr>
        <w:spacing w:line="320" w:lineRule="exact"/>
        <w:ind w:firstLine="360"/>
        <w:rPr>
          <w:rFonts w:cs="New Caledonia"/>
          <w:iCs/>
          <w:color w:val="000000"/>
        </w:rPr>
      </w:pPr>
      <w:r w:rsidRPr="00DF5FF1">
        <w:t>Time, more than any other change factor, influences teachers’ ability to make curriculum changes in the classroom</w:t>
      </w:r>
      <w:r>
        <w:t xml:space="preserve"> </w:t>
      </w:r>
      <w:sdt>
        <w:sdtPr>
          <w:id w:val="507294524"/>
          <w:citation/>
        </w:sdtPr>
        <w:sdtContent>
          <w:fldSimple w:instr=" CITATION Dav09 \l 1033 ">
            <w:r>
              <w:rPr>
                <w:noProof/>
              </w:rPr>
              <w:t>(Davis, 2009)</w:t>
            </w:r>
          </w:fldSimple>
        </w:sdtContent>
      </w:sdt>
      <w:r w:rsidRPr="00DF5FF1">
        <w:t xml:space="preserve">. Teachers need time for preparation, curriculum </w:t>
      </w:r>
      <w:r>
        <w:t xml:space="preserve">development, </w:t>
      </w:r>
      <w:r w:rsidRPr="00DF5FF1">
        <w:t xml:space="preserve">ongoing formal education, and collaboration. Teachers request common preparation time and space in order to collaborate more effectively with their colleagues. </w:t>
      </w:r>
      <w:proofErr w:type="spellStart"/>
      <w:r>
        <w:t>Neild</w:t>
      </w:r>
      <w:proofErr w:type="spellEnd"/>
      <w:r>
        <w:t xml:space="preserve"> </w:t>
      </w:r>
      <w:sdt>
        <w:sdtPr>
          <w:id w:val="507294526"/>
          <w:citation/>
        </w:sdtPr>
        <w:sdtContent>
          <w:fldSimple w:instr=" CITATION Nei09 \n  \t  \l 1033  ">
            <w:r>
              <w:rPr>
                <w:noProof/>
              </w:rPr>
              <w:t>(2009)</w:t>
            </w:r>
          </w:fldSimple>
        </w:sdtContent>
      </w:sdt>
      <w:r>
        <w:t xml:space="preserve"> agrees adding that teachers need time and space for </w:t>
      </w:r>
      <w:r w:rsidRPr="008A6461">
        <w:rPr>
          <w:rFonts w:cs="New Caledonia"/>
          <w:iCs/>
          <w:color w:val="000000"/>
        </w:rPr>
        <w:t>collaboration</w:t>
      </w:r>
      <w:r>
        <w:rPr>
          <w:rFonts w:cs="New Caledonia"/>
          <w:iCs/>
          <w:color w:val="000000"/>
        </w:rPr>
        <w:t xml:space="preserve">, </w:t>
      </w:r>
      <w:r w:rsidRPr="008A6461">
        <w:rPr>
          <w:rFonts w:cs="New Caledonia"/>
          <w:iCs/>
          <w:color w:val="000000"/>
        </w:rPr>
        <w:t>preparation of teaching materials</w:t>
      </w:r>
      <w:r>
        <w:rPr>
          <w:rFonts w:cs="New Caledonia"/>
          <w:iCs/>
          <w:color w:val="000000"/>
        </w:rPr>
        <w:t>, and professional development.</w:t>
      </w:r>
    </w:p>
    <w:p w:rsidR="0051370A" w:rsidRDefault="0051370A" w:rsidP="0051370A">
      <w:pPr>
        <w:spacing w:line="320" w:lineRule="exact"/>
        <w:ind w:firstLine="360"/>
      </w:pPr>
      <w:r w:rsidRPr="00DF5FF1">
        <w:t>Personal commitments and extra-school duties take away from teachers’ ability to dedicate time outside of the negotiated contract. Teachers need more time for preparation, curriculum development, collab</w:t>
      </w:r>
      <w:r>
        <w:t>oration, and knowledge building incorporated int</w:t>
      </w:r>
      <w:r w:rsidRPr="00DF5FF1">
        <w:t>o every school day and the negotiated contract. Teachers also need blocks of student-free time before the school year, at the end of the school year, and during the sch</w:t>
      </w:r>
      <w:r>
        <w:t xml:space="preserve">ool year to work on all </w:t>
      </w:r>
      <w:r w:rsidRPr="00DF5FF1">
        <w:t>aspects of curriculum change.</w:t>
      </w:r>
      <w:r>
        <w:t xml:space="preserve"> Teachers also request extra time during the school day to counsel with struggling </w:t>
      </w:r>
      <w:proofErr w:type="gramStart"/>
      <w:r>
        <w:t xml:space="preserve">students </w:t>
      </w:r>
      <w:proofErr w:type="gramEnd"/>
      <w:sdt>
        <w:sdtPr>
          <w:id w:val="507294528"/>
          <w:citation/>
        </w:sdtPr>
        <w:sdtContent>
          <w:fldSimple w:instr=" CITATION Lor \l 1033 ">
            <w:r>
              <w:rPr>
                <w:noProof/>
              </w:rPr>
              <w:t>(Lortie, 1975)</w:t>
            </w:r>
          </w:fldSimple>
        </w:sdtContent>
      </w:sdt>
      <w:r>
        <w:t>.</w:t>
      </w:r>
    </w:p>
    <w:p w:rsidR="0051370A" w:rsidRDefault="0051370A" w:rsidP="0051370A">
      <w:pPr>
        <w:spacing w:after="200" w:line="320" w:lineRule="exact"/>
        <w:ind w:firstLine="360"/>
        <w:rPr>
          <w:iCs/>
        </w:rPr>
      </w:pPr>
      <w:r>
        <w:rPr>
          <w:iCs/>
        </w:rPr>
        <w:t xml:space="preserve">Teachers integrating a substantive component to curriculum, like interdisciplinary teams, need multiple and focused opportunities away from the daily grind of the classroom and school. Collegiality is a </w:t>
      </w:r>
      <w:r w:rsidRPr="008A6461">
        <w:rPr>
          <w:rFonts w:cs="New Caledonia"/>
          <w:iCs/>
          <w:color w:val="000000"/>
        </w:rPr>
        <w:t xml:space="preserve">strong indicator of curriculum change success and is measured by frequency of communication, mutual support, and help among </w:t>
      </w:r>
      <w:proofErr w:type="gramStart"/>
      <w:r w:rsidRPr="008A6461">
        <w:rPr>
          <w:rFonts w:cs="New Caledonia"/>
          <w:iCs/>
          <w:color w:val="000000"/>
        </w:rPr>
        <w:t>teachers</w:t>
      </w:r>
      <w:r>
        <w:rPr>
          <w:rFonts w:cs="New Caledonia"/>
          <w:iCs/>
          <w:color w:val="000000"/>
        </w:rPr>
        <w:t xml:space="preserve"> </w:t>
      </w:r>
      <w:proofErr w:type="gramEnd"/>
      <w:sdt>
        <w:sdtPr>
          <w:rPr>
            <w:rFonts w:cs="New Caledonia"/>
            <w:iCs/>
            <w:color w:val="000000"/>
          </w:rPr>
          <w:id w:val="671600530"/>
          <w:citation/>
        </w:sdtPr>
        <w:sdtContent>
          <w:r>
            <w:rPr>
              <w:rFonts w:cs="New Caledonia"/>
              <w:iCs/>
              <w:color w:val="000000"/>
            </w:rPr>
            <w:fldChar w:fldCharType="begin"/>
          </w:r>
          <w:r>
            <w:rPr>
              <w:rFonts w:cs="New Caledonia"/>
              <w:iCs/>
              <w:color w:val="000000"/>
            </w:rPr>
            <w:instrText xml:space="preserve"> CITATION Ful07 \l 1033 </w:instrText>
          </w:r>
          <w:r>
            <w:rPr>
              <w:rFonts w:cs="New Caledonia"/>
              <w:iCs/>
              <w:color w:val="000000"/>
            </w:rPr>
            <w:fldChar w:fldCharType="separate"/>
          </w:r>
          <w:r w:rsidRPr="00184E6A">
            <w:rPr>
              <w:rFonts w:cs="New Caledonia"/>
              <w:noProof/>
              <w:color w:val="000000"/>
            </w:rPr>
            <w:t>(Fullan, 2007)</w:t>
          </w:r>
          <w:r>
            <w:rPr>
              <w:rFonts w:cs="New Caledonia"/>
              <w:iCs/>
              <w:color w:val="000000"/>
            </w:rPr>
            <w:fldChar w:fldCharType="end"/>
          </w:r>
        </w:sdtContent>
      </w:sdt>
      <w:r>
        <w:rPr>
          <w:iCs/>
        </w:rPr>
        <w:t>. A curriculum development workshop held off-campus the week prior to the beginning of school in the fall, followed by several one-day workshops throughout the school year, will help teachers begin planning major curriculum changes. Finally, teachers need an additional workshop the week prior to the beginning of school for the following academic year. This will create the time and space teachers need to collaborate with their colleagues, make significant changes to their curriculum, adapt curriculum materials to their style, and increase student learning through the curriculum change process.</w:t>
      </w:r>
    </w:p>
    <w:p w:rsidR="0051370A" w:rsidRPr="0051370A" w:rsidRDefault="0051370A" w:rsidP="0051370A">
      <w:pPr>
        <w:pStyle w:val="Heading3"/>
        <w:spacing w:before="0" w:line="320" w:lineRule="exact"/>
        <w:ind w:firstLine="360"/>
        <w:jc w:val="both"/>
        <w:rPr>
          <w:rFonts w:asciiTheme="minorHAnsi" w:hAnsiTheme="minorHAnsi"/>
          <w:i/>
          <w:iCs/>
          <w:color w:val="auto"/>
          <w:sz w:val="22"/>
        </w:rPr>
      </w:pPr>
      <w:bookmarkStart w:id="6" w:name="_Toc251598776"/>
      <w:r w:rsidRPr="0051370A">
        <w:rPr>
          <w:rFonts w:asciiTheme="minorHAnsi" w:hAnsiTheme="minorHAnsi"/>
          <w:i/>
          <w:iCs/>
          <w:color w:val="auto"/>
          <w:sz w:val="22"/>
        </w:rPr>
        <w:t>Professional Development</w:t>
      </w:r>
      <w:bookmarkEnd w:id="6"/>
    </w:p>
    <w:p w:rsidR="0051370A" w:rsidRPr="000C119B" w:rsidRDefault="0051370A" w:rsidP="0051370A">
      <w:pPr>
        <w:spacing w:line="320" w:lineRule="exact"/>
        <w:ind w:firstLine="360"/>
        <w:rPr>
          <w:rFonts w:cs="New Caledonia"/>
          <w:iCs/>
          <w:color w:val="000000"/>
        </w:rPr>
      </w:pPr>
      <w:r w:rsidRPr="000C119B">
        <w:rPr>
          <w:rFonts w:cs="New Caledonia"/>
          <w:iCs/>
          <w:color w:val="000000"/>
        </w:rPr>
        <w:t xml:space="preserve">Research shows that comprehensive school reform requires ongoing professional development in teaming, integrating curriculum, and specific content </w:t>
      </w:r>
      <w:proofErr w:type="gramStart"/>
      <w:r w:rsidRPr="000C119B">
        <w:rPr>
          <w:rFonts w:cs="New Caledonia"/>
          <w:iCs/>
          <w:color w:val="000000"/>
        </w:rPr>
        <w:t xml:space="preserve">interventions </w:t>
      </w:r>
      <w:proofErr w:type="gramEnd"/>
      <w:sdt>
        <w:sdtPr>
          <w:id w:val="507294535"/>
          <w:citation/>
        </w:sdtPr>
        <w:sdtContent>
          <w:r w:rsidRPr="000C119B">
            <w:rPr>
              <w:rFonts w:cs="New Caledonia"/>
              <w:iCs/>
              <w:color w:val="000000"/>
            </w:rPr>
            <w:fldChar w:fldCharType="begin"/>
          </w:r>
          <w:r w:rsidRPr="000C119B">
            <w:rPr>
              <w:rFonts w:cs="New Caledonia"/>
              <w:iCs/>
              <w:color w:val="000000"/>
            </w:rPr>
            <w:instrText xml:space="preserve"> CITATION Nei09 \l 1033 </w:instrText>
          </w:r>
          <w:r w:rsidRPr="000C119B">
            <w:rPr>
              <w:rFonts w:cs="New Caledonia"/>
              <w:iCs/>
              <w:color w:val="000000"/>
            </w:rPr>
            <w:fldChar w:fldCharType="separate"/>
          </w:r>
          <w:r w:rsidRPr="000C119B">
            <w:rPr>
              <w:rFonts w:cs="New Caledonia"/>
              <w:noProof/>
              <w:color w:val="000000"/>
            </w:rPr>
            <w:t>(Neild, 2009)</w:t>
          </w:r>
          <w:r w:rsidRPr="000C119B">
            <w:rPr>
              <w:rFonts w:cs="New Caledonia"/>
              <w:iCs/>
              <w:color w:val="000000"/>
            </w:rPr>
            <w:fldChar w:fldCharType="end"/>
          </w:r>
        </w:sdtContent>
      </w:sdt>
      <w:r w:rsidRPr="000C119B">
        <w:rPr>
          <w:rFonts w:cs="New Caledonia"/>
          <w:iCs/>
          <w:color w:val="000000"/>
        </w:rPr>
        <w:t xml:space="preserve">. </w:t>
      </w:r>
      <w:r>
        <w:rPr>
          <w:rFonts w:cs="New Caledonia"/>
          <w:iCs/>
          <w:color w:val="000000"/>
        </w:rPr>
        <w:t>“</w:t>
      </w:r>
      <w:r w:rsidRPr="008A6461">
        <w:t>Teachers who received training on teaching Talent Development’s catch-up courses</w:t>
      </w:r>
      <w:r>
        <w:t xml:space="preserve"> reported that the training </w:t>
      </w:r>
      <w:r w:rsidRPr="008A6461">
        <w:t>helped them deliver their lessons more effectively</w:t>
      </w:r>
      <w:proofErr w:type="gramStart"/>
      <w:r w:rsidRPr="008A6461">
        <w:t xml:space="preserve">” </w:t>
      </w:r>
      <w:proofErr w:type="gramEnd"/>
      <w:sdt>
        <w:sdtPr>
          <w:id w:val="507294536"/>
          <w:citation/>
        </w:sdtPr>
        <w:sdtContent>
          <w:fldSimple w:instr=" CITATION Her06 \p 5 \l 1033  ">
            <w:r w:rsidRPr="008A6461">
              <w:rPr>
                <w:noProof/>
              </w:rPr>
              <w:t>(Herlihy &amp; Quint, 2006, p. 5)</w:t>
            </w:r>
          </w:fldSimple>
        </w:sdtContent>
      </w:sdt>
      <w:r w:rsidRPr="008A6461">
        <w:t>.</w:t>
      </w:r>
    </w:p>
    <w:p w:rsidR="0051370A" w:rsidRPr="0051370A" w:rsidRDefault="0051370A" w:rsidP="0051370A">
      <w:pPr>
        <w:pStyle w:val="Heading3"/>
        <w:spacing w:line="320" w:lineRule="exact"/>
        <w:ind w:firstLine="360"/>
        <w:jc w:val="both"/>
        <w:rPr>
          <w:rFonts w:asciiTheme="minorHAnsi" w:hAnsiTheme="minorHAnsi" w:cs="New Caledonia"/>
          <w:i/>
          <w:iCs/>
          <w:color w:val="000000"/>
          <w:sz w:val="22"/>
        </w:rPr>
      </w:pPr>
      <w:bookmarkStart w:id="7" w:name="_Toc251598777"/>
      <w:r w:rsidRPr="0051370A">
        <w:rPr>
          <w:rFonts w:asciiTheme="minorHAnsi" w:hAnsiTheme="minorHAnsi" w:cs="New Caledonia"/>
          <w:i/>
          <w:iCs/>
          <w:color w:val="000000"/>
          <w:sz w:val="22"/>
        </w:rPr>
        <w:lastRenderedPageBreak/>
        <w:t>Encouragement</w:t>
      </w:r>
      <w:bookmarkEnd w:id="7"/>
    </w:p>
    <w:p w:rsidR="0051370A" w:rsidRDefault="0051370A" w:rsidP="0051370A">
      <w:pPr>
        <w:spacing w:line="320" w:lineRule="exact"/>
        <w:ind w:firstLine="360"/>
        <w:rPr>
          <w:rFonts w:cs="New Caledonia"/>
          <w:iCs/>
          <w:color w:val="000000"/>
        </w:rPr>
      </w:pPr>
      <w:r>
        <w:rPr>
          <w:iCs/>
        </w:rPr>
        <w:t>Overall, c</w:t>
      </w:r>
      <w:r w:rsidRPr="00EC6C51">
        <w:rPr>
          <w:rFonts w:cs="New Caledonia"/>
          <w:iCs/>
          <w:color w:val="000000"/>
        </w:rPr>
        <w:t xml:space="preserve">hange needs to be voluntary, but </w:t>
      </w:r>
      <w:r>
        <w:rPr>
          <w:rFonts w:cs="New Caledonia"/>
          <w:iCs/>
          <w:color w:val="000000"/>
        </w:rPr>
        <w:t xml:space="preserve">teachers </w:t>
      </w:r>
      <w:r w:rsidRPr="00EC6C51">
        <w:rPr>
          <w:rFonts w:cs="New Caledonia"/>
          <w:iCs/>
          <w:color w:val="000000"/>
        </w:rPr>
        <w:t>need to encouragement to change as they become stagnant</w:t>
      </w:r>
      <w:r>
        <w:rPr>
          <w:rFonts w:cs="New Caledonia"/>
          <w:iCs/>
          <w:color w:val="000000"/>
        </w:rPr>
        <w:t>. O</w:t>
      </w:r>
      <w:r w:rsidRPr="008A6461">
        <w:t xml:space="preserve">ngoing coaching can help teachers make better use of even well-designed </w:t>
      </w:r>
      <w:proofErr w:type="gramStart"/>
      <w:r w:rsidRPr="008A6461">
        <w:t xml:space="preserve">curricula </w:t>
      </w:r>
      <w:proofErr w:type="gramEnd"/>
      <w:sdt>
        <w:sdtPr>
          <w:id w:val="483093199"/>
          <w:citation/>
        </w:sdtPr>
        <w:sdtContent>
          <w:fldSimple w:instr=" CITATION Her06 \l 1033 ">
            <w:r w:rsidRPr="008A6461">
              <w:rPr>
                <w:noProof/>
              </w:rPr>
              <w:t>(Herlihy &amp; Quint, 2006)</w:t>
            </w:r>
          </w:fldSimple>
        </w:sdtContent>
      </w:sdt>
      <w:r>
        <w:t xml:space="preserve">. </w:t>
      </w:r>
      <w:proofErr w:type="spellStart"/>
      <w:r>
        <w:t>Neild</w:t>
      </w:r>
      <w:proofErr w:type="spellEnd"/>
      <w:r>
        <w:t xml:space="preserve"> </w:t>
      </w:r>
      <w:sdt>
        <w:sdtPr>
          <w:id w:val="507294552"/>
          <w:citation/>
        </w:sdtPr>
        <w:sdtContent>
          <w:fldSimple w:instr=" CITATION Nei09 \n  \t  \l 1033  ">
            <w:r>
              <w:rPr>
                <w:noProof/>
              </w:rPr>
              <w:t>(2009)</w:t>
            </w:r>
          </w:fldSimple>
        </w:sdtContent>
      </w:sdt>
      <w:r>
        <w:t xml:space="preserve"> </w:t>
      </w:r>
      <w:r>
        <w:rPr>
          <w:rFonts w:cs="New Caledonia"/>
          <w:iCs/>
          <w:color w:val="000000"/>
        </w:rPr>
        <w:t>recommends assigning a c</w:t>
      </w:r>
      <w:r w:rsidRPr="008A6461">
        <w:rPr>
          <w:rFonts w:cs="New Caledonia"/>
          <w:iCs/>
          <w:color w:val="000000"/>
        </w:rPr>
        <w:t>oach assigned to each team</w:t>
      </w:r>
      <w:r>
        <w:rPr>
          <w:rFonts w:cs="New Caledonia"/>
          <w:iCs/>
          <w:color w:val="000000"/>
        </w:rPr>
        <w:t>. The</w:t>
      </w:r>
      <w:r w:rsidRPr="008A6461">
        <w:rPr>
          <w:rFonts w:cs="New Caledonia"/>
          <w:iCs/>
          <w:color w:val="000000"/>
        </w:rPr>
        <w:t xml:space="preserve"> does not have discipline-specific duty</w:t>
      </w:r>
      <w:r>
        <w:rPr>
          <w:rFonts w:cs="New Caledonia"/>
          <w:iCs/>
          <w:color w:val="000000"/>
        </w:rPr>
        <w:t>, but f</w:t>
      </w:r>
      <w:r w:rsidRPr="008A6461">
        <w:rPr>
          <w:rFonts w:cs="New Caledonia"/>
          <w:iCs/>
          <w:color w:val="000000"/>
        </w:rPr>
        <w:t>acilitate teacher meetings</w:t>
      </w:r>
      <w:r>
        <w:rPr>
          <w:rFonts w:cs="New Caledonia"/>
          <w:iCs/>
          <w:color w:val="000000"/>
        </w:rPr>
        <w:t>, c</w:t>
      </w:r>
      <w:r w:rsidRPr="008A6461">
        <w:rPr>
          <w:rFonts w:cs="New Caledonia"/>
          <w:iCs/>
          <w:color w:val="000000"/>
        </w:rPr>
        <w:t>oordinate</w:t>
      </w:r>
      <w:r>
        <w:rPr>
          <w:rFonts w:cs="New Caledonia"/>
          <w:iCs/>
          <w:color w:val="000000"/>
        </w:rPr>
        <w:t>s professional development, and p</w:t>
      </w:r>
      <w:r w:rsidRPr="008A6461">
        <w:rPr>
          <w:rFonts w:cs="New Caledonia"/>
          <w:iCs/>
          <w:color w:val="000000"/>
        </w:rPr>
        <w:t>rovide c</w:t>
      </w:r>
      <w:r>
        <w:rPr>
          <w:rFonts w:cs="New Caledonia"/>
          <w:iCs/>
          <w:color w:val="000000"/>
        </w:rPr>
        <w:t xml:space="preserve">onstructive feedback on lessons. The coach </w:t>
      </w:r>
      <w:r w:rsidRPr="008A6461">
        <w:rPr>
          <w:rFonts w:cs="New Caledonia"/>
          <w:iCs/>
          <w:color w:val="000000"/>
        </w:rPr>
        <w:t xml:space="preserve">only works with what team teachers come up with during the year </w:t>
      </w:r>
      <w:r>
        <w:rPr>
          <w:rFonts w:cs="New Caledonia"/>
          <w:iCs/>
          <w:color w:val="000000"/>
        </w:rPr>
        <w:t>and does not</w:t>
      </w:r>
      <w:r w:rsidRPr="008A6461">
        <w:rPr>
          <w:rFonts w:cs="New Caledonia"/>
          <w:iCs/>
          <w:color w:val="000000"/>
        </w:rPr>
        <w:t xml:space="preserve"> provide additional curriculum implementation</w:t>
      </w:r>
      <w:r>
        <w:rPr>
          <w:rFonts w:cs="New Caledonia"/>
          <w:iCs/>
          <w:color w:val="000000"/>
        </w:rPr>
        <w:t xml:space="preserve"> expectations. </w:t>
      </w:r>
    </w:p>
    <w:p w:rsidR="0051370A" w:rsidRPr="0051370A" w:rsidRDefault="0051370A" w:rsidP="0051370A">
      <w:pPr>
        <w:pStyle w:val="Heading3"/>
        <w:spacing w:line="320" w:lineRule="exact"/>
        <w:ind w:firstLine="360"/>
        <w:rPr>
          <w:rFonts w:asciiTheme="minorHAnsi" w:hAnsiTheme="minorHAnsi" w:cs="New Caledonia"/>
          <w:i/>
          <w:iCs/>
          <w:color w:val="000000"/>
          <w:sz w:val="22"/>
        </w:rPr>
      </w:pPr>
      <w:bookmarkStart w:id="8" w:name="_Toc251598778"/>
      <w:r w:rsidRPr="0051370A">
        <w:rPr>
          <w:rFonts w:asciiTheme="minorHAnsi" w:hAnsiTheme="minorHAnsi" w:cs="New Caledonia"/>
          <w:i/>
          <w:iCs/>
          <w:color w:val="000000"/>
          <w:sz w:val="22"/>
        </w:rPr>
        <w:t>Feedback</w:t>
      </w:r>
      <w:bookmarkEnd w:id="8"/>
    </w:p>
    <w:p w:rsidR="0051370A" w:rsidRDefault="0051370A" w:rsidP="0051370A">
      <w:pPr>
        <w:spacing w:line="320" w:lineRule="exact"/>
        <w:ind w:firstLine="360"/>
        <w:rPr>
          <w:rFonts w:cs="New Caledonia"/>
          <w:iCs/>
          <w:color w:val="000000"/>
        </w:rPr>
      </w:pPr>
      <w:r w:rsidRPr="00A60595">
        <w:rPr>
          <w:iCs/>
        </w:rPr>
        <w:t xml:space="preserve">Throughout the year, instructional leadership from administrators and talented colleagues gives teachers formative assessment while they practice, adapt, and perfect lessons in their own teaching </w:t>
      </w:r>
      <w:proofErr w:type="gramStart"/>
      <w:r w:rsidRPr="00A60595">
        <w:rPr>
          <w:iCs/>
        </w:rPr>
        <w:t xml:space="preserve">style </w:t>
      </w:r>
      <w:proofErr w:type="gramEnd"/>
      <w:sdt>
        <w:sdtPr>
          <w:id w:val="507294540"/>
          <w:citation/>
        </w:sdtPr>
        <w:sdtContent>
          <w:r w:rsidRPr="00A60595">
            <w:rPr>
              <w:iCs/>
            </w:rPr>
            <w:fldChar w:fldCharType="begin"/>
          </w:r>
          <w:r w:rsidRPr="00A60595">
            <w:rPr>
              <w:iCs/>
            </w:rPr>
            <w:instrText xml:space="preserve"> CITATION Dav09 \l 1033 </w:instrText>
          </w:r>
          <w:r w:rsidRPr="00A60595">
            <w:rPr>
              <w:iCs/>
            </w:rPr>
            <w:fldChar w:fldCharType="separate"/>
          </w:r>
          <w:r>
            <w:rPr>
              <w:noProof/>
            </w:rPr>
            <w:t>(Davis, 2009)</w:t>
          </w:r>
          <w:r w:rsidRPr="00A60595">
            <w:rPr>
              <w:iCs/>
            </w:rPr>
            <w:fldChar w:fldCharType="end"/>
          </w:r>
        </w:sdtContent>
      </w:sdt>
      <w:r w:rsidRPr="00A60595">
        <w:rPr>
          <w:iCs/>
        </w:rPr>
        <w:t>.</w:t>
      </w:r>
      <w:r>
        <w:rPr>
          <w:iCs/>
        </w:rPr>
        <w:t xml:space="preserve"> Reflecting on teaching practices and professional development needs helps teachers and administrators address current and future plans for improving student achievement. Electronic journaling proves to be a convenient way for teachers to reflect on their teaching practices and receive feedback from coaches and </w:t>
      </w:r>
      <w:proofErr w:type="gramStart"/>
      <w:r>
        <w:rPr>
          <w:iCs/>
        </w:rPr>
        <w:t xml:space="preserve">administrators </w:t>
      </w:r>
      <w:proofErr w:type="gramEnd"/>
      <w:sdt>
        <w:sdtPr>
          <w:rPr>
            <w:iCs/>
          </w:rPr>
          <w:id w:val="507294594"/>
          <w:citation/>
        </w:sdtPr>
        <w:sdtContent>
          <w:r>
            <w:rPr>
              <w:iCs/>
            </w:rPr>
            <w:fldChar w:fldCharType="begin"/>
          </w:r>
          <w:r>
            <w:rPr>
              <w:iCs/>
            </w:rPr>
            <w:instrText xml:space="preserve"> CITATION Dav09 \l 1033 </w:instrText>
          </w:r>
          <w:r>
            <w:rPr>
              <w:iCs/>
            </w:rPr>
            <w:fldChar w:fldCharType="separate"/>
          </w:r>
          <w:r>
            <w:rPr>
              <w:noProof/>
            </w:rPr>
            <w:t>(Davis, 2009)</w:t>
          </w:r>
          <w:r>
            <w:rPr>
              <w:iCs/>
            </w:rPr>
            <w:fldChar w:fldCharType="end"/>
          </w:r>
        </w:sdtContent>
      </w:sdt>
      <w:r>
        <w:rPr>
          <w:iCs/>
        </w:rPr>
        <w:t>. D</w:t>
      </w:r>
      <w:r w:rsidRPr="008A6461">
        <w:rPr>
          <w:rFonts w:cs="New Caledonia"/>
          <w:iCs/>
          <w:color w:val="000000"/>
        </w:rPr>
        <w:t>ata-</w:t>
      </w:r>
      <w:r>
        <w:rPr>
          <w:rFonts w:cs="New Caledonia"/>
          <w:iCs/>
          <w:color w:val="000000"/>
        </w:rPr>
        <w:t xml:space="preserve">driven formative assessments, and feedback from students, parents, and colleagues also provide important feedback to </w:t>
      </w:r>
      <w:r w:rsidRPr="008A6461">
        <w:rPr>
          <w:rFonts w:cs="New Caledonia"/>
          <w:iCs/>
          <w:color w:val="000000"/>
        </w:rPr>
        <w:t xml:space="preserve">improve classroom </w:t>
      </w:r>
      <w:proofErr w:type="gramStart"/>
      <w:r w:rsidRPr="008A6461">
        <w:rPr>
          <w:rFonts w:cs="New Caledonia"/>
          <w:iCs/>
          <w:color w:val="000000"/>
        </w:rPr>
        <w:t xml:space="preserve">instruction </w:t>
      </w:r>
      <w:proofErr w:type="gramEnd"/>
      <w:sdt>
        <w:sdtPr>
          <w:rPr>
            <w:rFonts w:cs="New Caledonia"/>
            <w:iCs/>
            <w:color w:val="000000"/>
          </w:rPr>
          <w:id w:val="483093230"/>
          <w:citation/>
        </w:sdtPr>
        <w:sdtContent>
          <w:r w:rsidRPr="008A6461">
            <w:rPr>
              <w:rFonts w:cs="New Caledonia"/>
              <w:iCs/>
              <w:color w:val="000000"/>
            </w:rPr>
            <w:fldChar w:fldCharType="begin"/>
          </w:r>
          <w:r w:rsidRPr="008A6461">
            <w:rPr>
              <w:rFonts w:cs="New Caledonia"/>
              <w:iCs/>
              <w:color w:val="000000"/>
            </w:rPr>
            <w:instrText xml:space="preserve"> CITATION Dav09 \l 1033 </w:instrText>
          </w:r>
          <w:r w:rsidRPr="008A6461">
            <w:rPr>
              <w:rFonts w:cs="New Caledonia"/>
              <w:iCs/>
              <w:color w:val="000000"/>
            </w:rPr>
            <w:fldChar w:fldCharType="separate"/>
          </w:r>
          <w:r w:rsidRPr="008A6461">
            <w:rPr>
              <w:rFonts w:cs="New Caledonia"/>
              <w:noProof/>
              <w:color w:val="000000"/>
            </w:rPr>
            <w:t>(Davis, 2009)</w:t>
          </w:r>
          <w:r w:rsidRPr="008A6461">
            <w:rPr>
              <w:rFonts w:cs="New Caledonia"/>
              <w:iCs/>
              <w:color w:val="000000"/>
            </w:rPr>
            <w:fldChar w:fldCharType="end"/>
          </w:r>
        </w:sdtContent>
      </w:sdt>
      <w:r>
        <w:rPr>
          <w:rFonts w:cs="New Caledonia"/>
          <w:iCs/>
          <w:color w:val="000000"/>
        </w:rPr>
        <w:t>.</w:t>
      </w:r>
    </w:p>
    <w:sdt>
      <w:sdtPr>
        <w:id w:val="8412167"/>
        <w:docPartObj>
          <w:docPartGallery w:val="Bibliographies"/>
          <w:docPartUnique/>
        </w:docPartObj>
      </w:sdtPr>
      <w:sdtEndPr>
        <w:rPr>
          <w:rFonts w:asciiTheme="minorHAnsi" w:eastAsiaTheme="minorHAnsi" w:hAnsiTheme="minorHAnsi" w:cs="AGaramond-Regular"/>
          <w:b w:val="0"/>
          <w:bCs w:val="0"/>
          <w:color w:val="231F20"/>
          <w:sz w:val="24"/>
          <w:szCs w:val="24"/>
        </w:rPr>
      </w:sdtEndPr>
      <w:sdtContent>
        <w:p w:rsidR="0051370A" w:rsidRDefault="0051370A" w:rsidP="0051370A">
          <w:pPr>
            <w:pStyle w:val="Heading1"/>
            <w:spacing w:line="320" w:lineRule="exact"/>
          </w:pPr>
          <w:r w:rsidRPr="0051370A">
            <w:rPr>
              <w:sz w:val="24"/>
            </w:rPr>
            <w:t>Works Cited</w:t>
          </w:r>
        </w:p>
        <w:p w:rsidR="0051370A" w:rsidRDefault="0051370A" w:rsidP="0051370A">
          <w:pPr>
            <w:pStyle w:val="Bibliography"/>
            <w:spacing w:line="320" w:lineRule="exact"/>
            <w:ind w:left="720" w:hanging="720"/>
            <w:rPr>
              <w:noProof/>
            </w:rPr>
          </w:pPr>
          <w:r>
            <w:fldChar w:fldCharType="begin"/>
          </w:r>
          <w:r>
            <w:instrText xml:space="preserve"> BIBLIOGRAPHY </w:instrText>
          </w:r>
          <w:r>
            <w:fldChar w:fldCharType="separate"/>
          </w:r>
          <w:r>
            <w:rPr>
              <w:noProof/>
            </w:rPr>
            <w:t xml:space="preserve">Allensworth, E. M., &amp; Easton, J. Q. (2007). </w:t>
          </w:r>
          <w:r>
            <w:rPr>
              <w:i/>
              <w:iCs/>
              <w:noProof/>
            </w:rPr>
            <w:t>What matters for staying on track and graduating in Chicago Public High Schools: A close look at course grades, failures, and attendance in the freshman year.</w:t>
          </w:r>
          <w:r>
            <w:rPr>
              <w:noProof/>
            </w:rPr>
            <w:t xml:space="preserve"> Chicago: Consortium on Chicago School Research at The University of Chicago.</w:t>
          </w:r>
        </w:p>
        <w:p w:rsidR="0051370A" w:rsidRDefault="0051370A" w:rsidP="0051370A">
          <w:pPr>
            <w:pStyle w:val="Bibliography"/>
            <w:spacing w:line="320" w:lineRule="exact"/>
            <w:ind w:left="720" w:hanging="720"/>
            <w:rPr>
              <w:noProof/>
            </w:rPr>
          </w:pPr>
          <w:r>
            <w:rPr>
              <w:noProof/>
            </w:rPr>
            <w:t>Davis, H. C. (2009, May). Curriculum improvement: The teacher perspective on change in the classroom. Missoula, MT: (Doctoral Dissertation, The University of Montana, 2009). Proquest.</w:t>
          </w:r>
        </w:p>
        <w:p w:rsidR="0051370A" w:rsidRDefault="0051370A" w:rsidP="0051370A">
          <w:pPr>
            <w:pStyle w:val="Bibliography"/>
            <w:spacing w:line="320" w:lineRule="exact"/>
            <w:ind w:left="720" w:hanging="720"/>
            <w:rPr>
              <w:noProof/>
            </w:rPr>
          </w:pPr>
          <w:r>
            <w:rPr>
              <w:noProof/>
            </w:rPr>
            <w:t xml:space="preserve">Fullan, M. (2007). </w:t>
          </w:r>
          <w:r>
            <w:rPr>
              <w:i/>
              <w:iCs/>
              <w:noProof/>
            </w:rPr>
            <w:t>The new meaning of educational change.</w:t>
          </w:r>
          <w:r>
            <w:rPr>
              <w:noProof/>
            </w:rPr>
            <w:t xml:space="preserve"> New York: Teachers College Press.</w:t>
          </w:r>
        </w:p>
        <w:p w:rsidR="0051370A" w:rsidRDefault="0051370A" w:rsidP="0051370A">
          <w:pPr>
            <w:pStyle w:val="Bibliography"/>
            <w:spacing w:line="320" w:lineRule="exact"/>
            <w:ind w:left="720" w:hanging="720"/>
            <w:rPr>
              <w:noProof/>
            </w:rPr>
          </w:pPr>
          <w:r>
            <w:rPr>
              <w:noProof/>
            </w:rPr>
            <w:t xml:space="preserve">Herlihy, C., &amp; Quint, J. (2006). </w:t>
          </w:r>
          <w:r>
            <w:rPr>
              <w:i/>
              <w:iCs/>
              <w:noProof/>
            </w:rPr>
            <w:t>Emerging evidence on improving high school student achievement and graduation rates.</w:t>
          </w:r>
          <w:r>
            <w:rPr>
              <w:noProof/>
            </w:rPr>
            <w:t xml:space="preserve"> Retrieved January 15, 2010, from National High School Center: http://www.betterhighschools.org/docs/NHSC_EmergingEvidenceBrief_111606Final.pdf</w:t>
          </w:r>
        </w:p>
        <w:p w:rsidR="0051370A" w:rsidRDefault="0051370A" w:rsidP="0051370A">
          <w:pPr>
            <w:pStyle w:val="Bibliography"/>
            <w:spacing w:line="320" w:lineRule="exact"/>
            <w:ind w:left="720" w:hanging="720"/>
            <w:rPr>
              <w:noProof/>
            </w:rPr>
          </w:pPr>
          <w:r>
            <w:rPr>
              <w:noProof/>
            </w:rPr>
            <w:t xml:space="preserve">Kennelly, L., &amp; Monrad, M. (2007, October). </w:t>
          </w:r>
          <w:r>
            <w:rPr>
              <w:i/>
              <w:iCs/>
              <w:noProof/>
            </w:rPr>
            <w:t>Approaches to dropout prevention: Heeding early warning signs with appropriate interventions.</w:t>
          </w:r>
          <w:r>
            <w:rPr>
              <w:noProof/>
            </w:rPr>
            <w:t xml:space="preserve"> Retrieved January 12, 2009, from National High School Center: betterhighschools.org</w:t>
          </w:r>
        </w:p>
        <w:p w:rsidR="0051370A" w:rsidRDefault="0051370A" w:rsidP="0051370A">
          <w:pPr>
            <w:pStyle w:val="Bibliography"/>
            <w:spacing w:line="320" w:lineRule="exact"/>
            <w:ind w:left="720" w:hanging="720"/>
            <w:rPr>
              <w:noProof/>
            </w:rPr>
          </w:pPr>
          <w:r>
            <w:rPr>
              <w:noProof/>
            </w:rPr>
            <w:t xml:space="preserve">Lortie, D. C. (1975). </w:t>
          </w:r>
          <w:r>
            <w:rPr>
              <w:i/>
              <w:iCs/>
              <w:noProof/>
            </w:rPr>
            <w:t>Schoolteacher: A sociological study.</w:t>
          </w:r>
          <w:r>
            <w:rPr>
              <w:noProof/>
            </w:rPr>
            <w:t xml:space="preserve"> Chicago: The University of Chicago Press.</w:t>
          </w:r>
        </w:p>
        <w:p w:rsidR="0051370A" w:rsidRDefault="0051370A" w:rsidP="0051370A">
          <w:pPr>
            <w:pStyle w:val="Bibliography"/>
            <w:spacing w:line="320" w:lineRule="exact"/>
            <w:ind w:left="720" w:hanging="720"/>
            <w:rPr>
              <w:noProof/>
            </w:rPr>
          </w:pPr>
          <w:r>
            <w:rPr>
              <w:noProof/>
            </w:rPr>
            <w:t xml:space="preserve">Neild, R. C. (2009, Spring). </w:t>
          </w:r>
          <w:r>
            <w:rPr>
              <w:i/>
              <w:iCs/>
              <w:noProof/>
            </w:rPr>
            <w:t>Falling off track during the transition to high school: What we know and what can be done.</w:t>
          </w:r>
          <w:r>
            <w:rPr>
              <w:noProof/>
            </w:rPr>
            <w:t xml:space="preserve"> Retrieved January 12, 2010, from Future of Children: www.futureofchildren.org</w:t>
          </w:r>
        </w:p>
        <w:p w:rsidR="0051370A" w:rsidRDefault="0051370A" w:rsidP="0051370A">
          <w:pPr>
            <w:spacing w:line="320" w:lineRule="exact"/>
            <w:ind w:left="720" w:hanging="720"/>
          </w:pPr>
          <w:r>
            <w:fldChar w:fldCharType="end"/>
          </w:r>
        </w:p>
      </w:sdtContent>
    </w:sdt>
    <w:p w:rsidR="0023381B" w:rsidRDefault="0053025F" w:rsidP="0051370A">
      <w:pPr>
        <w:spacing w:line="320" w:lineRule="exact"/>
        <w:ind w:left="720" w:hanging="720"/>
      </w:pPr>
    </w:p>
    <w:sectPr w:rsidR="0023381B" w:rsidSect="0051370A">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ew Caledonia">
    <w:altName w:val="New Caledonia"/>
    <w:panose1 w:val="00000000000000000000"/>
    <w:charset w:val="00"/>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70A"/>
    <w:rsid w:val="003C6710"/>
    <w:rsid w:val="0051370A"/>
    <w:rsid w:val="0053025F"/>
    <w:rsid w:val="00540417"/>
    <w:rsid w:val="00752B63"/>
    <w:rsid w:val="00B17C6C"/>
    <w:rsid w:val="00F55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70A"/>
    <w:pPr>
      <w:spacing w:after="0" w:line="360" w:lineRule="auto"/>
      <w:ind w:firstLine="720"/>
    </w:pPr>
    <w:rPr>
      <w:rFonts w:cs="AGaramond-Regular"/>
      <w:color w:val="231F20"/>
      <w:sz w:val="24"/>
      <w:szCs w:val="24"/>
    </w:rPr>
  </w:style>
  <w:style w:type="paragraph" w:styleId="Heading1">
    <w:name w:val="heading 1"/>
    <w:basedOn w:val="Normal"/>
    <w:next w:val="Normal"/>
    <w:link w:val="Heading1Char"/>
    <w:uiPriority w:val="9"/>
    <w:qFormat/>
    <w:rsid w:val="005137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37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370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ind w:firstLine="0"/>
      <w:jc w:val="center"/>
    </w:pPr>
    <w:rPr>
      <w:rFonts w:ascii="Times New Roman" w:eastAsia="SimSun" w:hAnsi="Times New Roman" w:cs="Times New Roman"/>
      <w:caps/>
      <w:noProof/>
      <w:color w:val="auto"/>
      <w:lang w:eastAsia="zh-CN"/>
    </w:rPr>
  </w:style>
  <w:style w:type="character" w:customStyle="1" w:styleId="Heading1Char">
    <w:name w:val="Heading 1 Char"/>
    <w:basedOn w:val="DefaultParagraphFont"/>
    <w:link w:val="Heading1"/>
    <w:uiPriority w:val="9"/>
    <w:rsid w:val="005137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37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370A"/>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51370A"/>
    <w:pPr>
      <w:ind w:left="720"/>
      <w:contextualSpacing/>
    </w:pPr>
  </w:style>
  <w:style w:type="table" w:styleId="TableGrid">
    <w:name w:val="Table Grid"/>
    <w:basedOn w:val="TableNormal"/>
    <w:uiPriority w:val="59"/>
    <w:rsid w:val="00513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37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70A"/>
    <w:rPr>
      <w:rFonts w:ascii="Tahoma" w:hAnsi="Tahoma" w:cs="Tahoma"/>
      <w:color w:val="231F20"/>
      <w:sz w:val="16"/>
      <w:szCs w:val="16"/>
    </w:rPr>
  </w:style>
  <w:style w:type="paragraph" w:styleId="Bibliography">
    <w:name w:val="Bibliography"/>
    <w:basedOn w:val="Normal"/>
    <w:next w:val="Normal"/>
    <w:uiPriority w:val="37"/>
    <w:unhideWhenUsed/>
    <w:rsid w:val="005137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Nei09</b:Tag>
    <b:SourceType>DocumentFromInternetSite</b:SourceType>
    <b:Guid>{4AC369E9-155E-4FC5-9F11-F7C381B03ED5}</b:Guid>
    <b:LCID>0</b:LCID>
    <b:Author>
      <b:Author>
        <b:NameList>
          <b:Person>
            <b:Last>Neild</b:Last>
            <b:First>Ruth</b:First>
            <b:Middle>Curran</b:Middle>
          </b:Person>
        </b:NameList>
      </b:Author>
    </b:Author>
    <b:Title>Falling off track during the transition to high school: What we know and what can be done</b:Title>
    <b:Year>2009</b:Year>
    <b:Publisher>Future of Children</b:Publisher>
    <b:Month>Spring</b:Month>
    <b:InternetSiteTitle>Future of Children</b:InternetSiteTitle>
    <b:YearAccessed>2010</b:YearAccessed>
    <b:MonthAccessed>January</b:MonthAccessed>
    <b:DayAccessed>12</b:DayAccessed>
    <b:URL>www.futureofchildren.org</b:URL>
    <b:RefOrder>1</b:RefOrder>
  </b:Source>
  <b:Source>
    <b:Tag>Her06</b:Tag>
    <b:SourceType>DocumentFromInternetSite</b:SourceType>
    <b:Guid>{D4D71777-F09C-41FB-B429-F9CD52171E18}</b:Guid>
    <b:LCID>0</b:LCID>
    <b:Author>
      <b:Author>
        <b:NameList>
          <b:Person>
            <b:Last>Herlihy</b:Last>
            <b:First>Corinne</b:First>
          </b:Person>
          <b:Person>
            <b:Last>Quint</b:Last>
            <b:First>Janet</b:First>
          </b:Person>
        </b:NameList>
      </b:Author>
    </b:Author>
    <b:Title>Emerging evidence on improving high school student achievement and graduation rates</b:Title>
    <b:InternetSiteTitle>National High School Center</b:InternetSiteTitle>
    <b:Year>2006</b:Year>
    <b:YearAccessed>2010</b:YearAccessed>
    <b:MonthAccessed>January</b:MonthAccessed>
    <b:DayAccessed>15</b:DayAccessed>
    <b:URL>http://www.betterhighschools.org/docs/NHSC_EmergingEvidenceBrief_111606Final.pdf</b:URL>
    <b:RefOrder>2</b:RefOrder>
  </b:Source>
  <b:Source>
    <b:Tag>Ken07</b:Tag>
    <b:SourceType>DocumentFromInternetSite</b:SourceType>
    <b:Guid>{86EFAF4D-B5A5-4DE2-A8D5-5B7909B98952}</b:Guid>
    <b:LCID>0</b:LCID>
    <b:Author>
      <b:Author>
        <b:NameList>
          <b:Person>
            <b:Last>Kennelly</b:Last>
            <b:First>Louise</b:First>
          </b:Person>
          <b:Person>
            <b:Last>Monrad</b:Last>
            <b:First>Maggie</b:First>
          </b:Person>
        </b:NameList>
      </b:Author>
    </b:Author>
    <b:Title>Approaches to dropout prevention: Heeding early warning signs with appropriate interventions</b:Title>
    <b:Year>2007</b:Year>
    <b:Publisher>National High School Center at the American Institutes for Research</b:Publisher>
    <b:City>Washington, D.C.</b:City>
    <b:InternetSiteTitle>National High School Center</b:InternetSiteTitle>
    <b:Month>October</b:Month>
    <b:YearAccessed>2009</b:YearAccessed>
    <b:MonthAccessed>January</b:MonthAccessed>
    <b:DayAccessed>12</b:DayAccessed>
    <b:URL>betterhighschools.org</b:URL>
    <b:RefOrder>3</b:RefOrder>
  </b:Source>
  <b:Source>
    <b:Tag>All07</b:Tag>
    <b:SourceType>Report</b:SourceType>
    <b:Guid>{883C15D0-C6AC-435A-878F-86D82211FC4F}</b:Guid>
    <b:LCID>0</b:LCID>
    <b:Author>
      <b:Author>
        <b:NameList>
          <b:Person>
            <b:Last>Allensworth</b:Last>
            <b:First>Elaine</b:First>
            <b:Middle>M.</b:Middle>
          </b:Person>
          <b:Person>
            <b:Last>Easton</b:Last>
            <b:First>John</b:First>
            <b:Middle>Q.</b:Middle>
          </b:Person>
        </b:NameList>
      </b:Author>
    </b:Author>
    <b:Title>What matters for staying on track and graduating in Chicago Public High Schools: A close look at course grades, failures, and attendance in the freshman year</b:Title>
    <b:Year>2007</b:Year>
    <b:Publisher>Consortium on Chicago School Research at The University of Chicago</b:Publisher>
    <b:City>Chicago</b:City>
    <b:RefOrder>4</b:RefOrder>
  </b:Source>
  <b:Source>
    <b:Tag>Dav09</b:Tag>
    <b:SourceType>Misc</b:SourceType>
    <b:Guid>{C4EBB70D-AEE6-4CD0-8EDC-D628EC0516EA}</b:Guid>
    <b:LCID>0</b:LCID>
    <b:Author>
      <b:Author>
        <b:NameList>
          <b:Person>
            <b:Last>Davis</b:Last>
            <b:First>Heather</b:First>
            <b:Middle>C.</b:Middle>
          </b:Person>
        </b:NameList>
      </b:Author>
    </b:Author>
    <b:Title>Curriculum improvement: The teacher perspective on  change in the  classroom</b:Title>
    <b:Year>2009</b:Year>
    <b:Month>May</b:Month>
    <b:City>Missoula</b:City>
    <b:StateProvince>MT</b:StateProvince>
    <b:Publisher>(Doctoral Dissertation, The University of Montana, 2009). Proquest</b:Publisher>
    <b:RefOrder>5</b:RefOrder>
  </b:Source>
  <b:Source>
    <b:Tag>Lor</b:Tag>
    <b:SourceType>Book</b:SourceType>
    <b:Guid>{F7B0B85D-4BF9-40D5-B812-352A927B8B58}</b:Guid>
    <b:LCID>0</b:LCID>
    <b:Author>
      <b:Author>
        <b:NameList>
          <b:Person>
            <b:Last>Lortie</b:Last>
            <b:First>D.</b:First>
            <b:Middle>C.</b:Middle>
          </b:Person>
        </b:NameList>
      </b:Author>
    </b:Author>
    <b:Title>Schoolteacher: A sociological study</b:Title>
    <b:Year>1975</b:Year>
    <b:City>Chicago</b:City>
    <b:Publisher>The University of Chicago Press</b:Publisher>
    <b:RefOrder>6</b:RefOrder>
  </b:Source>
  <b:Source>
    <b:Tag>Ful07</b:Tag>
    <b:SourceType>Book</b:SourceType>
    <b:Guid>{3671BA7A-B863-4F6D-8E53-5105451D06F7}</b:Guid>
    <b:LCID>0</b:LCID>
    <b:Author>
      <b:Author>
        <b:NameList>
          <b:Person>
            <b:Last>Fullan</b:Last>
            <b:First>Michael</b:First>
          </b:Person>
        </b:NameList>
      </b:Author>
    </b:Author>
    <b:Title>The new meaning of educational change</b:Title>
    <b:Year>2007</b:Year>
    <b:City>New York</b:City>
    <b:Publisher>Teachers College Press</b:Publisher>
    <b:RefOrder>7</b:RefOrder>
  </b:Source>
</b:Sources>
</file>

<file path=customXml/itemProps1.xml><?xml version="1.0" encoding="utf-8"?>
<ds:datastoreItem xmlns:ds="http://schemas.openxmlformats.org/officeDocument/2006/customXml" ds:itemID="{8448969F-A133-4AC5-9291-8873FA22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2374</Words>
  <Characters>13537</Characters>
  <Application>Microsoft Office Word</Application>
  <DocSecurity>0</DocSecurity>
  <Lines>112</Lines>
  <Paragraphs>31</Paragraphs>
  <ScaleCrop>false</ScaleCrop>
  <Company/>
  <LinksUpToDate>false</LinksUpToDate>
  <CharactersWithSpaces>15880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2</cp:revision>
  <dcterms:created xsi:type="dcterms:W3CDTF">2011-11-30T06:36:00Z</dcterms:created>
  <dcterms:modified xsi:type="dcterms:W3CDTF">2011-11-30T06:50:00Z</dcterms:modified>
</cp:coreProperties>
</file>